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F5" w:rsidRPr="00CB0FF5" w:rsidRDefault="00CB0FF5" w:rsidP="00CB0FF5">
      <w:pPr>
        <w:pStyle w:val="Ttulo5"/>
        <w:ind w:hanging="1701"/>
        <w:jc w:val="both"/>
        <w:rPr>
          <w:rFonts w:ascii="Times New Roman" w:hAnsi="Times New Roman"/>
          <w:szCs w:val="24"/>
        </w:rPr>
      </w:pPr>
      <w:r w:rsidRPr="001A7E93">
        <w:rPr>
          <w:rFonts w:ascii="Times New Roman" w:hAnsi="Times New Roman"/>
          <w:szCs w:val="24"/>
        </w:rPr>
        <w:t xml:space="preserve">                </w:t>
      </w:r>
    </w:p>
    <w:p w:rsidR="00F96288" w:rsidRPr="00200E39" w:rsidRDefault="0053045F" w:rsidP="00C958E3">
      <w:pPr>
        <w:spacing w:after="0" w:line="240" w:lineRule="auto"/>
        <w:ind w:left="2124" w:firstLine="708"/>
        <w:jc w:val="right"/>
        <w:rPr>
          <w:rFonts w:ascii="Bookman Old Style" w:hAnsi="Bookman Old Style"/>
          <w:sz w:val="28"/>
          <w:szCs w:val="28"/>
        </w:rPr>
      </w:pPr>
      <w:r w:rsidRPr="00200E39">
        <w:rPr>
          <w:rFonts w:ascii="Bookman Old Style" w:hAnsi="Bookman Old Style"/>
          <w:sz w:val="28"/>
          <w:szCs w:val="28"/>
        </w:rPr>
        <w:t>Resistencia, 26</w:t>
      </w:r>
      <w:r w:rsidR="00F96288" w:rsidRPr="00200E39">
        <w:rPr>
          <w:rFonts w:ascii="Bookman Old Style" w:hAnsi="Bookman Old Style"/>
          <w:sz w:val="28"/>
          <w:szCs w:val="28"/>
        </w:rPr>
        <w:t xml:space="preserve"> de </w:t>
      </w:r>
      <w:r w:rsidRPr="00200E39">
        <w:rPr>
          <w:rFonts w:ascii="Bookman Old Style" w:hAnsi="Bookman Old Style"/>
          <w:sz w:val="28"/>
          <w:szCs w:val="28"/>
        </w:rPr>
        <w:t xml:space="preserve">abril </w:t>
      </w:r>
      <w:r w:rsidR="00F96288" w:rsidRPr="00200E39">
        <w:rPr>
          <w:rFonts w:ascii="Bookman Old Style" w:hAnsi="Bookman Old Style"/>
          <w:sz w:val="28"/>
          <w:szCs w:val="28"/>
        </w:rPr>
        <w:t>de 2019</w:t>
      </w:r>
    </w:p>
    <w:p w:rsidR="00CB0FF5" w:rsidRPr="00200E39" w:rsidRDefault="00CB0FF5" w:rsidP="00CB0FF5">
      <w:pPr>
        <w:spacing w:after="0" w:line="240" w:lineRule="auto"/>
        <w:ind w:left="2124" w:firstLine="708"/>
        <w:jc w:val="both"/>
        <w:rPr>
          <w:rFonts w:ascii="Bookman Old Style" w:hAnsi="Bookman Old Style"/>
          <w:sz w:val="28"/>
          <w:szCs w:val="28"/>
        </w:rPr>
      </w:pPr>
    </w:p>
    <w:p w:rsidR="00F96288" w:rsidRPr="00200E39" w:rsidRDefault="00F96288" w:rsidP="00CB0FF5">
      <w:pPr>
        <w:spacing w:after="0" w:line="240" w:lineRule="auto"/>
        <w:jc w:val="both"/>
        <w:rPr>
          <w:rFonts w:ascii="Bookman Old Style" w:hAnsi="Bookman Old Style"/>
          <w:sz w:val="28"/>
          <w:szCs w:val="28"/>
        </w:rPr>
      </w:pPr>
      <w:r w:rsidRPr="00C958E3">
        <w:rPr>
          <w:rFonts w:ascii="Bookman Old Style" w:hAnsi="Bookman Old Style"/>
          <w:b/>
          <w:sz w:val="28"/>
          <w:szCs w:val="28"/>
          <w:u w:val="single"/>
        </w:rPr>
        <w:t>VISTO:</w:t>
      </w:r>
      <w:r w:rsidRPr="00200E39">
        <w:rPr>
          <w:rFonts w:ascii="Bookman Old Style" w:hAnsi="Bookman Old Style"/>
          <w:sz w:val="28"/>
          <w:szCs w:val="28"/>
        </w:rPr>
        <w:t xml:space="preserve"> Los Oficios suscriptos por el Sr. Fiscal de Estado que ruegan la anotación preventiva de expropiación, anotación de declaración de utilidad pública o anotación de litis y </w:t>
      </w:r>
    </w:p>
    <w:p w:rsidR="00CB0FF5" w:rsidRPr="00200E39" w:rsidRDefault="00CB0FF5" w:rsidP="00CB0FF5">
      <w:pPr>
        <w:spacing w:after="0" w:line="240" w:lineRule="auto"/>
        <w:jc w:val="both"/>
        <w:rPr>
          <w:rFonts w:ascii="Bookman Old Style" w:hAnsi="Bookman Old Style"/>
          <w:sz w:val="28"/>
          <w:szCs w:val="28"/>
        </w:rPr>
      </w:pPr>
    </w:p>
    <w:p w:rsidR="00F96288" w:rsidRPr="00C958E3" w:rsidRDefault="00F96288" w:rsidP="00CB0FF5">
      <w:pPr>
        <w:spacing w:after="0" w:line="240" w:lineRule="auto"/>
        <w:jc w:val="both"/>
        <w:rPr>
          <w:rFonts w:ascii="Bookman Old Style" w:hAnsi="Bookman Old Style"/>
          <w:b/>
          <w:sz w:val="28"/>
          <w:szCs w:val="28"/>
          <w:u w:val="single"/>
        </w:rPr>
      </w:pPr>
      <w:r w:rsidRPr="00C958E3">
        <w:rPr>
          <w:rFonts w:ascii="Bookman Old Style" w:hAnsi="Bookman Old Style"/>
          <w:b/>
          <w:sz w:val="28"/>
          <w:szCs w:val="28"/>
          <w:u w:val="single"/>
        </w:rPr>
        <w:t xml:space="preserve">CONSIDERANDO: </w:t>
      </w:r>
    </w:p>
    <w:p w:rsidR="00F96288" w:rsidRPr="00200E39" w:rsidRDefault="00F96288"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r>
      <w:r w:rsidR="006859E1" w:rsidRPr="00200E39">
        <w:rPr>
          <w:rFonts w:ascii="Bookman Old Style" w:hAnsi="Bookman Old Style"/>
          <w:sz w:val="28"/>
          <w:szCs w:val="28"/>
        </w:rPr>
        <w:t>Que la ley nacional 21499</w:t>
      </w:r>
      <w:r w:rsidR="00A00963" w:rsidRPr="00200E39">
        <w:rPr>
          <w:rFonts w:ascii="Bookman Old Style" w:hAnsi="Bookman Old Style"/>
          <w:sz w:val="28"/>
          <w:szCs w:val="28"/>
        </w:rPr>
        <w:t>, en su artículo 24</w:t>
      </w:r>
      <w:r w:rsidRPr="00200E39">
        <w:rPr>
          <w:rFonts w:ascii="Bookman Old Style" w:hAnsi="Bookman Old Style"/>
          <w:sz w:val="28"/>
          <w:szCs w:val="28"/>
        </w:rPr>
        <w:t xml:space="preserve"> como medida precautoria establece la anotación de litis en el Registro de la Propiedad Inmueble, quedando desde ese momento indisponible e inembargable el</w:t>
      </w:r>
      <w:r w:rsidR="00A00963" w:rsidRPr="00200E39">
        <w:rPr>
          <w:rFonts w:ascii="Bookman Old Style" w:hAnsi="Bookman Old Style"/>
          <w:sz w:val="28"/>
          <w:szCs w:val="28"/>
        </w:rPr>
        <w:t xml:space="preserve"> bien</w:t>
      </w:r>
      <w:r w:rsidRPr="00200E39">
        <w:rPr>
          <w:rFonts w:ascii="Bookman Old Style" w:hAnsi="Bookman Old Style"/>
          <w:sz w:val="28"/>
          <w:szCs w:val="28"/>
        </w:rPr>
        <w:t>. Es por otra parte, la medida prevista en el artículo 229 del Código Procesal Civil y Comercial de la Nación</w:t>
      </w:r>
      <w:r w:rsidR="00A00963" w:rsidRPr="00200E39">
        <w:rPr>
          <w:rFonts w:ascii="Bookman Old Style" w:hAnsi="Bookman Old Style"/>
          <w:sz w:val="28"/>
          <w:szCs w:val="28"/>
        </w:rPr>
        <w:t xml:space="preserve"> dice: “procederá la anotación de litis cuando se dedujere una pretensión que pudiere tener como consecuencia la modificación de una inscripción en el Registro de la Propiedad y el derecho fuere verosímil….”, </w:t>
      </w:r>
      <w:r w:rsidRPr="00200E39">
        <w:rPr>
          <w:rFonts w:ascii="Bookman Old Style" w:hAnsi="Bookman Old Style"/>
          <w:sz w:val="28"/>
          <w:szCs w:val="28"/>
        </w:rPr>
        <w:t xml:space="preserve"> a</w:t>
      </w:r>
      <w:r w:rsidR="00A00963" w:rsidRPr="00200E39">
        <w:rPr>
          <w:rFonts w:ascii="Bookman Old Style" w:hAnsi="Bookman Old Style"/>
          <w:sz w:val="28"/>
          <w:szCs w:val="28"/>
        </w:rPr>
        <w:t xml:space="preserve"> </w:t>
      </w:r>
      <w:r w:rsidRPr="00200E39">
        <w:rPr>
          <w:rFonts w:ascii="Bookman Old Style" w:hAnsi="Bookman Old Style"/>
          <w:sz w:val="28"/>
          <w:szCs w:val="28"/>
        </w:rPr>
        <w:t>l</w:t>
      </w:r>
      <w:r w:rsidR="00A00963" w:rsidRPr="00200E39">
        <w:rPr>
          <w:rFonts w:ascii="Bookman Old Style" w:hAnsi="Bookman Old Style"/>
          <w:sz w:val="28"/>
          <w:szCs w:val="28"/>
        </w:rPr>
        <w:t>a</w:t>
      </w:r>
      <w:r w:rsidRPr="00200E39">
        <w:rPr>
          <w:rFonts w:ascii="Bookman Old Style" w:hAnsi="Bookman Old Style"/>
          <w:sz w:val="28"/>
          <w:szCs w:val="28"/>
        </w:rPr>
        <w:t xml:space="preserve"> que se le ha adicionado lo atinente a la inembargabilidad e indisponibilidad.</w:t>
      </w:r>
    </w:p>
    <w:p w:rsidR="00A00963" w:rsidRPr="00200E39" w:rsidRDefault="00A00963"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t>Que la ley provincial</w:t>
      </w:r>
      <w:r w:rsidR="00734782" w:rsidRPr="00200E39">
        <w:rPr>
          <w:rFonts w:ascii="Bookman Old Style" w:hAnsi="Bookman Old Style"/>
          <w:sz w:val="28"/>
          <w:szCs w:val="28"/>
        </w:rPr>
        <w:t xml:space="preserve"> 332- A (antes</w:t>
      </w:r>
      <w:r w:rsidRPr="00200E39">
        <w:rPr>
          <w:rFonts w:ascii="Bookman Old Style" w:hAnsi="Bookman Old Style"/>
          <w:sz w:val="28"/>
          <w:szCs w:val="28"/>
        </w:rPr>
        <w:t xml:space="preserve"> 2289</w:t>
      </w:r>
      <w:r w:rsidR="00734782" w:rsidRPr="00200E39">
        <w:rPr>
          <w:rFonts w:ascii="Bookman Old Style" w:hAnsi="Bookman Old Style"/>
          <w:sz w:val="28"/>
          <w:szCs w:val="28"/>
        </w:rPr>
        <w:t>)</w:t>
      </w:r>
      <w:r w:rsidRPr="00200E39">
        <w:rPr>
          <w:rFonts w:ascii="Bookman Old Style" w:hAnsi="Bookman Old Style"/>
          <w:sz w:val="28"/>
          <w:szCs w:val="28"/>
        </w:rPr>
        <w:t>, en su artículo 35 como medida precautoria establece la anotación de la declaración de utilidad pública en el Registro de la Propiedad inmueble.  Y dice: “igualmente se anot</w:t>
      </w:r>
      <w:r w:rsidR="006859E1" w:rsidRPr="00200E39">
        <w:rPr>
          <w:rFonts w:ascii="Bookman Old Style" w:hAnsi="Bookman Old Style"/>
          <w:sz w:val="28"/>
          <w:szCs w:val="28"/>
        </w:rPr>
        <w:t>a</w:t>
      </w:r>
      <w:r w:rsidRPr="00200E39">
        <w:rPr>
          <w:rFonts w:ascii="Bookman Old Style" w:hAnsi="Bookman Old Style"/>
          <w:sz w:val="28"/>
          <w:szCs w:val="28"/>
        </w:rPr>
        <w:t>rá la litis si</w:t>
      </w:r>
      <w:r w:rsidR="006859E1" w:rsidRPr="00200E39">
        <w:rPr>
          <w:rFonts w:ascii="Bookman Old Style" w:hAnsi="Bookman Old Style"/>
          <w:sz w:val="28"/>
          <w:szCs w:val="28"/>
        </w:rPr>
        <w:t>e</w:t>
      </w:r>
      <w:r w:rsidRPr="00200E39">
        <w:rPr>
          <w:rFonts w:ascii="Bookman Old Style" w:hAnsi="Bookman Old Style"/>
          <w:sz w:val="28"/>
          <w:szCs w:val="28"/>
        </w:rPr>
        <w:t>ndo desde este momento indisponible e inembargable el bien”</w:t>
      </w:r>
      <w:r w:rsidR="006859E1" w:rsidRPr="00200E39">
        <w:rPr>
          <w:rFonts w:ascii="Bookman Old Style" w:hAnsi="Bookman Old Style"/>
          <w:sz w:val="28"/>
          <w:szCs w:val="28"/>
        </w:rPr>
        <w:t>.</w:t>
      </w:r>
    </w:p>
    <w:p w:rsidR="00734782" w:rsidRPr="00200E39" w:rsidRDefault="006859E1"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t xml:space="preserve">Que </w:t>
      </w:r>
      <w:r w:rsidR="00AA5EB4" w:rsidRPr="00200E39">
        <w:rPr>
          <w:rFonts w:ascii="Bookman Old Style" w:hAnsi="Bookman Old Style"/>
          <w:sz w:val="28"/>
          <w:szCs w:val="28"/>
        </w:rPr>
        <w:t xml:space="preserve">tanto el artículo 5 de la ley nacional como el artículo </w:t>
      </w:r>
      <w:r w:rsidR="00734782" w:rsidRPr="00200E39">
        <w:rPr>
          <w:rFonts w:ascii="Bookman Old Style" w:hAnsi="Bookman Old Style"/>
          <w:sz w:val="28"/>
          <w:szCs w:val="28"/>
        </w:rPr>
        <w:t>4 de la ley provincial, determinan que la declaración de utilidad pública puede se genérica o específica, refiriéndose a inmuebles determinados.</w:t>
      </w:r>
    </w:p>
    <w:p w:rsidR="00A07655" w:rsidRPr="00200E39" w:rsidRDefault="00734782"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t>Que si la declaración de utilidad pública fuere genérica y referida a inmuebles, a fin de cumplir con el principio de especialidad, previsto en el art. 12 de la ley 17801, deberá determinarse a falta de individualización de cada inmueble,</w:t>
      </w:r>
      <w:r w:rsidR="00A07655" w:rsidRPr="00200E39">
        <w:rPr>
          <w:rFonts w:ascii="Bookman Old Style" w:hAnsi="Bookman Old Style"/>
          <w:sz w:val="28"/>
          <w:szCs w:val="28"/>
        </w:rPr>
        <w:t xml:space="preserve"> al menos su propietario, en caso que el legislador no haya delegado al poder ejecutivo la determinación precisa de los inmuebles sujetos a expropiación. Así lo ha determinado la Corte Suprema de Justicia de la Nación en autos. “Direcció Nacional de Vialidad c/Badaracco y Bottaro”. Fallos:150:354; 120:332; 176:306; 142:83.</w:t>
      </w:r>
    </w:p>
    <w:p w:rsidR="00A07655" w:rsidRPr="00200E39" w:rsidRDefault="00A07655"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t xml:space="preserve">Que debido al carácter de indisponible del inmueble, </w:t>
      </w:r>
      <w:r w:rsidR="008F3E20" w:rsidRPr="00200E39">
        <w:rPr>
          <w:rFonts w:ascii="Bookman Old Style" w:hAnsi="Bookman Old Style"/>
          <w:sz w:val="28"/>
          <w:szCs w:val="28"/>
        </w:rPr>
        <w:t xml:space="preserve">estamos en presencia de una medida cautelar dirigida contra los bienes de una persona que tiene como fin impedir la modificación de la situación jurídica de un inmueble mientras dure la vigencia de la medida. </w:t>
      </w:r>
    </w:p>
    <w:p w:rsidR="008F3E20" w:rsidRPr="00200E39" w:rsidRDefault="008F3E20"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t>Que tratándose de una medida cautelar que tiene por objeto mantener el status respecto de la situación jurídica de un inmueble, por sus efectos se encuentra emparentada con la medida de no innovar, porque con ésta medida se busca lograr la inalterabilidad jurídica del inmueble.</w:t>
      </w:r>
    </w:p>
    <w:p w:rsidR="008F3E20" w:rsidRPr="00200E39" w:rsidRDefault="008F3E20"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lastRenderedPageBreak/>
        <w:tab/>
      </w:r>
      <w:r w:rsidRPr="00200E39">
        <w:rPr>
          <w:rFonts w:ascii="Bookman Old Style" w:hAnsi="Bookman Old Style"/>
          <w:sz w:val="28"/>
          <w:szCs w:val="28"/>
        </w:rPr>
        <w:tab/>
      </w:r>
      <w:r w:rsidRPr="00200E39">
        <w:rPr>
          <w:rFonts w:ascii="Bookman Old Style" w:hAnsi="Bookman Old Style"/>
          <w:sz w:val="28"/>
          <w:szCs w:val="28"/>
        </w:rPr>
        <w:tab/>
        <w:t xml:space="preserve">Que respecto de la terminología se utilizan los conceptos de “indisponibilidad”, “anotación de expropiación”, “anotación preventiva de expropiación”, “anotación de utilidad pública”, “declaración de utilidad pública”, “anotación de litis por declaración de utilidad pública”, “anotación de litis por expropiación”, </w:t>
      </w:r>
      <w:r w:rsidR="0005507F" w:rsidRPr="00200E39">
        <w:rPr>
          <w:rFonts w:ascii="Bookman Old Style" w:hAnsi="Bookman Old Style"/>
          <w:sz w:val="28"/>
          <w:szCs w:val="28"/>
        </w:rPr>
        <w:t>teniendo toda</w:t>
      </w:r>
      <w:r w:rsidR="004D3FB2" w:rsidRPr="00200E39">
        <w:rPr>
          <w:rFonts w:ascii="Bookman Old Style" w:hAnsi="Bookman Old Style"/>
          <w:sz w:val="28"/>
          <w:szCs w:val="28"/>
        </w:rPr>
        <w:t>s esta</w:t>
      </w:r>
      <w:r w:rsidR="00CD2024" w:rsidRPr="00200E39">
        <w:rPr>
          <w:rFonts w:ascii="Bookman Old Style" w:hAnsi="Bookman Old Style"/>
          <w:sz w:val="28"/>
          <w:szCs w:val="28"/>
        </w:rPr>
        <w:t xml:space="preserve">s </w:t>
      </w:r>
      <w:r w:rsidR="004D3FB2" w:rsidRPr="00200E39">
        <w:rPr>
          <w:rFonts w:ascii="Bookman Old Style" w:hAnsi="Bookman Old Style"/>
          <w:sz w:val="28"/>
          <w:szCs w:val="28"/>
        </w:rPr>
        <w:t xml:space="preserve">expresiones </w:t>
      </w:r>
      <w:r w:rsidR="00CD2024" w:rsidRPr="00200E39">
        <w:rPr>
          <w:rFonts w:ascii="Bookman Old Style" w:hAnsi="Bookman Old Style"/>
          <w:sz w:val="28"/>
          <w:szCs w:val="28"/>
        </w:rPr>
        <w:t xml:space="preserve">los efectos de </w:t>
      </w:r>
      <w:r w:rsidR="00CD2024" w:rsidRPr="00200E39">
        <w:rPr>
          <w:rFonts w:ascii="Bookman Old Style" w:hAnsi="Bookman Old Style"/>
          <w:i/>
          <w:sz w:val="28"/>
          <w:szCs w:val="28"/>
        </w:rPr>
        <w:t>inembargabilidad e indisponibilidad</w:t>
      </w:r>
      <w:r w:rsidR="00CD2024" w:rsidRPr="00200E39">
        <w:rPr>
          <w:rFonts w:ascii="Bookman Old Style" w:hAnsi="Bookman Old Style"/>
          <w:sz w:val="28"/>
          <w:szCs w:val="28"/>
        </w:rPr>
        <w:t xml:space="preserve"> señalados más arriba.</w:t>
      </w:r>
      <w:r w:rsidRPr="00200E39">
        <w:rPr>
          <w:rFonts w:ascii="Bookman Old Style" w:hAnsi="Bookman Old Style"/>
          <w:sz w:val="28"/>
          <w:szCs w:val="28"/>
        </w:rPr>
        <w:t xml:space="preserve"> </w:t>
      </w:r>
    </w:p>
    <w:p w:rsidR="003A3B65" w:rsidRPr="00200E39" w:rsidRDefault="003A3B65"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t>Que en caso de rogarse la anotación de una medida cautelar de embargo, el registrador no realizará el asiento respectivo en la matrícula y el oficio será rechazado por la existencia de la medida antes señalada anotada en la matrícula haciendo saber al Sr. Juez tal circunstancia.</w:t>
      </w:r>
    </w:p>
    <w:p w:rsidR="003A3B65" w:rsidRPr="00200E39" w:rsidRDefault="003A3B65" w:rsidP="0005507F">
      <w:pPr>
        <w:spacing w:after="0" w:line="240" w:lineRule="auto"/>
        <w:jc w:val="both"/>
        <w:rPr>
          <w:rFonts w:ascii="Bookman Old Style" w:hAnsi="Bookman Old Style"/>
          <w:sz w:val="28"/>
          <w:szCs w:val="28"/>
        </w:rPr>
      </w:pPr>
      <w:r w:rsidRPr="00200E39">
        <w:rPr>
          <w:rFonts w:ascii="Bookman Old Style" w:hAnsi="Bookman Old Style"/>
          <w:sz w:val="28"/>
          <w:szCs w:val="28"/>
        </w:rPr>
        <w:tab/>
      </w:r>
      <w:r w:rsidRPr="00200E39">
        <w:rPr>
          <w:rFonts w:ascii="Bookman Old Style" w:hAnsi="Bookman Old Style"/>
          <w:sz w:val="28"/>
          <w:szCs w:val="28"/>
        </w:rPr>
        <w:tab/>
      </w:r>
      <w:r w:rsidRPr="00200E39">
        <w:rPr>
          <w:rFonts w:ascii="Bookman Old Style" w:hAnsi="Bookman Old Style"/>
          <w:sz w:val="28"/>
          <w:szCs w:val="28"/>
        </w:rPr>
        <w:tab/>
        <w:t>Que en caso de rogarse una certificación, el registrador no realizará el asiento respectivo en la matrícula y el certificado será rechazado por la existencia de la medida antes señalada anotada en la matrícula haciendo saber al Sr. Escribano tal circunstancia.</w:t>
      </w:r>
    </w:p>
    <w:p w:rsidR="00F96288" w:rsidRPr="00200E39" w:rsidRDefault="00F96288" w:rsidP="0005507F">
      <w:pPr>
        <w:spacing w:after="0" w:line="240" w:lineRule="auto"/>
        <w:ind w:left="1416" w:firstLine="708"/>
        <w:jc w:val="both"/>
        <w:rPr>
          <w:rFonts w:ascii="Bookman Old Style" w:hAnsi="Bookman Old Style"/>
          <w:sz w:val="28"/>
          <w:szCs w:val="28"/>
        </w:rPr>
      </w:pPr>
      <w:r w:rsidRPr="00200E39">
        <w:rPr>
          <w:rFonts w:ascii="Bookman Old Style" w:hAnsi="Bookman Old Style"/>
          <w:sz w:val="28"/>
          <w:szCs w:val="28"/>
        </w:rPr>
        <w:t>Que en uso de las atribuciones conferidas por el</w:t>
      </w:r>
    </w:p>
    <w:p w:rsidR="0005507F" w:rsidRPr="00200E39" w:rsidRDefault="00F96288" w:rsidP="0005507F">
      <w:pPr>
        <w:spacing w:after="0" w:line="240" w:lineRule="auto"/>
        <w:jc w:val="both"/>
        <w:rPr>
          <w:rFonts w:ascii="Bookman Old Style" w:hAnsi="Bookman Old Style"/>
          <w:sz w:val="28"/>
          <w:szCs w:val="28"/>
          <w:lang w:val="en-US"/>
        </w:rPr>
      </w:pPr>
      <w:r w:rsidRPr="00200E39">
        <w:rPr>
          <w:rFonts w:ascii="Bookman Old Style" w:hAnsi="Bookman Old Style"/>
          <w:sz w:val="28"/>
          <w:szCs w:val="28"/>
          <w:lang w:val="en-US"/>
        </w:rPr>
        <w:t>Art. 36 inc. d) del Dto. 306/69</w:t>
      </w:r>
    </w:p>
    <w:p w:rsidR="0005507F" w:rsidRPr="00200E39" w:rsidRDefault="0005507F" w:rsidP="0005507F">
      <w:pPr>
        <w:spacing w:after="0" w:line="240" w:lineRule="auto"/>
        <w:jc w:val="both"/>
        <w:rPr>
          <w:rFonts w:ascii="Bookman Old Style" w:hAnsi="Bookman Old Style"/>
          <w:sz w:val="28"/>
          <w:szCs w:val="28"/>
          <w:lang w:val="en-US"/>
        </w:rPr>
      </w:pPr>
    </w:p>
    <w:p w:rsidR="00F96288" w:rsidRPr="00200E39" w:rsidRDefault="00F96288" w:rsidP="00C958E3">
      <w:pPr>
        <w:spacing w:after="0" w:line="240" w:lineRule="auto"/>
        <w:jc w:val="center"/>
        <w:rPr>
          <w:rFonts w:ascii="Bookman Old Style" w:hAnsi="Bookman Old Style"/>
          <w:b/>
          <w:sz w:val="28"/>
          <w:szCs w:val="28"/>
        </w:rPr>
      </w:pPr>
      <w:r w:rsidRPr="00200E39">
        <w:rPr>
          <w:rFonts w:ascii="Bookman Old Style" w:hAnsi="Bookman Old Style"/>
          <w:b/>
          <w:sz w:val="28"/>
          <w:szCs w:val="28"/>
        </w:rPr>
        <w:t>LA DIRECTORA DEL REGISTRO DE LA PROPIEDAD INMUEBLE DEL CHACO</w:t>
      </w:r>
    </w:p>
    <w:p w:rsidR="00F96288" w:rsidRPr="00C958E3" w:rsidRDefault="00F96288" w:rsidP="00C958E3">
      <w:pPr>
        <w:spacing w:after="0" w:line="240" w:lineRule="auto"/>
        <w:jc w:val="center"/>
        <w:rPr>
          <w:rFonts w:ascii="Bookman Old Style" w:hAnsi="Bookman Old Style"/>
          <w:b/>
          <w:sz w:val="28"/>
          <w:szCs w:val="28"/>
          <w:u w:val="single"/>
        </w:rPr>
      </w:pPr>
      <w:r w:rsidRPr="00C958E3">
        <w:rPr>
          <w:rFonts w:ascii="Bookman Old Style" w:hAnsi="Bookman Old Style"/>
          <w:b/>
          <w:sz w:val="28"/>
          <w:szCs w:val="28"/>
          <w:u w:val="single"/>
        </w:rPr>
        <w:t>DISPONE</w:t>
      </w:r>
    </w:p>
    <w:p w:rsidR="0005507F" w:rsidRPr="00200E39" w:rsidRDefault="0005507F" w:rsidP="00C958E3">
      <w:pPr>
        <w:spacing w:after="0" w:line="240" w:lineRule="auto"/>
        <w:jc w:val="center"/>
        <w:rPr>
          <w:rFonts w:ascii="Bookman Old Style" w:hAnsi="Bookman Old Style"/>
          <w:b/>
          <w:sz w:val="28"/>
          <w:szCs w:val="28"/>
        </w:rPr>
      </w:pPr>
    </w:p>
    <w:p w:rsidR="00F96288" w:rsidRPr="00200E39" w:rsidRDefault="00F96288" w:rsidP="0005507F">
      <w:pPr>
        <w:spacing w:after="0" w:line="240" w:lineRule="auto"/>
        <w:jc w:val="both"/>
        <w:rPr>
          <w:rFonts w:ascii="Bookman Old Style" w:hAnsi="Bookman Old Style"/>
          <w:sz w:val="28"/>
          <w:szCs w:val="28"/>
        </w:rPr>
      </w:pPr>
      <w:r w:rsidRPr="00C958E3">
        <w:rPr>
          <w:rFonts w:ascii="Bookman Old Style" w:hAnsi="Bookman Old Style"/>
          <w:b/>
          <w:sz w:val="28"/>
          <w:szCs w:val="28"/>
        </w:rPr>
        <w:t>ART. 1:</w:t>
      </w:r>
      <w:r w:rsidRPr="00200E39">
        <w:rPr>
          <w:rFonts w:ascii="Bookman Old Style" w:hAnsi="Bookman Old Style"/>
          <w:sz w:val="28"/>
          <w:szCs w:val="28"/>
        </w:rPr>
        <w:t xml:space="preserve"> </w:t>
      </w:r>
      <w:r w:rsidR="004D3FB2" w:rsidRPr="00200E39">
        <w:rPr>
          <w:rFonts w:ascii="Bookman Old Style" w:hAnsi="Bookman Old Style"/>
          <w:sz w:val="28"/>
          <w:szCs w:val="28"/>
        </w:rPr>
        <w:t>EQUIPARAR</w:t>
      </w:r>
      <w:r w:rsidR="004D3FB2" w:rsidRPr="00200E39">
        <w:rPr>
          <w:rFonts w:ascii="Bookman Old Style" w:hAnsi="Bookman Old Style"/>
          <w:sz w:val="28"/>
          <w:szCs w:val="28"/>
        </w:rPr>
        <w:tab/>
        <w:t>, el tratamiento registral de la “indisponibilidad”, “anotación de expropiación”, “anotación preventiva de expropiación”, “anotación de utilidad pública”, “declaración de utilidad pública”, “anotación de litis por declaración de utilidad pública”, “anotación de litis por expropiación”, a la “medida de no innovar”, conforme lo expresado en los consierandos.</w:t>
      </w:r>
    </w:p>
    <w:p w:rsidR="00F96288" w:rsidRPr="00200E39" w:rsidRDefault="00F96288" w:rsidP="0005507F">
      <w:pPr>
        <w:spacing w:line="240" w:lineRule="auto"/>
        <w:jc w:val="both"/>
        <w:rPr>
          <w:rFonts w:ascii="Bookman Old Style" w:hAnsi="Bookman Old Style"/>
          <w:sz w:val="28"/>
          <w:szCs w:val="28"/>
        </w:rPr>
      </w:pPr>
      <w:r w:rsidRPr="00C958E3">
        <w:rPr>
          <w:rFonts w:ascii="Bookman Old Style" w:hAnsi="Bookman Old Style"/>
          <w:b/>
          <w:sz w:val="28"/>
          <w:szCs w:val="28"/>
        </w:rPr>
        <w:t>ART. 2:</w:t>
      </w:r>
      <w:r w:rsidRPr="00200E39">
        <w:rPr>
          <w:rFonts w:ascii="Bookman Old Style" w:hAnsi="Bookman Old Style"/>
          <w:sz w:val="28"/>
          <w:szCs w:val="28"/>
        </w:rPr>
        <w:t xml:space="preserve"> RECHAZAR, la anotación de </w:t>
      </w:r>
      <w:r w:rsidR="003A3B65" w:rsidRPr="00200E39">
        <w:rPr>
          <w:rFonts w:ascii="Bookman Old Style" w:hAnsi="Bookman Old Style"/>
          <w:sz w:val="28"/>
          <w:szCs w:val="28"/>
        </w:rPr>
        <w:t xml:space="preserve">embargos y la expedición de certificados, en las matrículas de inmuebles sujetos a  expropiación, </w:t>
      </w:r>
      <w:r w:rsidRPr="00200E39">
        <w:rPr>
          <w:rFonts w:ascii="Bookman Old Style" w:hAnsi="Bookman Old Style"/>
          <w:sz w:val="28"/>
          <w:szCs w:val="28"/>
        </w:rPr>
        <w:t>conforme lo dispuesto</w:t>
      </w:r>
      <w:r w:rsidR="003A3B65" w:rsidRPr="00200E39">
        <w:rPr>
          <w:rFonts w:ascii="Bookman Old Style" w:hAnsi="Bookman Old Style"/>
          <w:sz w:val="28"/>
          <w:szCs w:val="28"/>
        </w:rPr>
        <w:t xml:space="preserve"> en el art. 9 inciso a) de la ley 17801 y</w:t>
      </w:r>
      <w:r w:rsidRPr="00200E39">
        <w:rPr>
          <w:rFonts w:ascii="Bookman Old Style" w:hAnsi="Bookman Old Style"/>
          <w:sz w:val="28"/>
          <w:szCs w:val="28"/>
        </w:rPr>
        <w:t xml:space="preserve"> en los considerandos de la presente Disposición.</w:t>
      </w:r>
    </w:p>
    <w:p w:rsidR="00F96288" w:rsidRPr="00200E39" w:rsidRDefault="00F96288" w:rsidP="0005507F">
      <w:pPr>
        <w:spacing w:line="240" w:lineRule="auto"/>
        <w:jc w:val="both"/>
        <w:rPr>
          <w:rFonts w:ascii="Bookman Old Style" w:hAnsi="Bookman Old Style"/>
          <w:sz w:val="28"/>
          <w:szCs w:val="28"/>
        </w:rPr>
      </w:pPr>
      <w:r w:rsidRPr="00C958E3">
        <w:rPr>
          <w:rFonts w:ascii="Bookman Old Style" w:hAnsi="Bookman Old Style"/>
          <w:b/>
          <w:sz w:val="28"/>
          <w:szCs w:val="28"/>
        </w:rPr>
        <w:t>ART. 3:</w:t>
      </w:r>
      <w:r w:rsidRPr="00200E39">
        <w:rPr>
          <w:rFonts w:ascii="Bookman Old Style" w:hAnsi="Bookman Old Style"/>
          <w:sz w:val="28"/>
          <w:szCs w:val="28"/>
        </w:rPr>
        <w:t xml:space="preserve"> NOTIFIQUESE, regístrese, publíquese en el Boletín Oficial y archívese.</w:t>
      </w:r>
    </w:p>
    <w:p w:rsidR="0005507F" w:rsidRPr="00C958E3" w:rsidRDefault="0005507F" w:rsidP="0005507F">
      <w:pPr>
        <w:spacing w:line="240" w:lineRule="auto"/>
        <w:jc w:val="both"/>
        <w:rPr>
          <w:rFonts w:ascii="Bookman Old Style" w:hAnsi="Bookman Old Style"/>
          <w:b/>
          <w:sz w:val="28"/>
          <w:szCs w:val="28"/>
          <w:u w:val="single"/>
        </w:rPr>
      </w:pPr>
      <w:r w:rsidRPr="00C958E3">
        <w:rPr>
          <w:rFonts w:ascii="Bookman Old Style" w:hAnsi="Bookman Old Style"/>
          <w:b/>
          <w:sz w:val="28"/>
          <w:szCs w:val="28"/>
          <w:u w:val="single"/>
        </w:rPr>
        <w:t xml:space="preserve">DISPOSICION TECNICA </w:t>
      </w:r>
      <w:r w:rsidR="00B74449">
        <w:rPr>
          <w:rFonts w:ascii="Bookman Old Style" w:hAnsi="Bookman Old Style"/>
          <w:b/>
          <w:sz w:val="28"/>
          <w:szCs w:val="28"/>
          <w:u w:val="single"/>
        </w:rPr>
        <w:t xml:space="preserve">REGISTRAL </w:t>
      </w:r>
      <w:r w:rsidRPr="00C958E3">
        <w:rPr>
          <w:rFonts w:ascii="Bookman Old Style" w:hAnsi="Bookman Old Style"/>
          <w:b/>
          <w:sz w:val="28"/>
          <w:szCs w:val="28"/>
          <w:u w:val="single"/>
        </w:rPr>
        <w:t>Nº2/2019</w:t>
      </w:r>
    </w:p>
    <w:p w:rsidR="002C31BA" w:rsidRDefault="002C31BA"/>
    <w:sectPr w:rsidR="002C31BA" w:rsidSect="00200E3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6C" w:rsidRDefault="00A6756C" w:rsidP="00CB0FF5">
      <w:pPr>
        <w:spacing w:after="0" w:line="240" w:lineRule="auto"/>
      </w:pPr>
      <w:r>
        <w:separator/>
      </w:r>
    </w:p>
  </w:endnote>
  <w:endnote w:type="continuationSeparator" w:id="1">
    <w:p w:rsidR="00A6756C" w:rsidRDefault="00A6756C" w:rsidP="00CB0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6C" w:rsidRDefault="00A6756C" w:rsidP="00CB0FF5">
      <w:pPr>
        <w:spacing w:after="0" w:line="240" w:lineRule="auto"/>
      </w:pPr>
      <w:r>
        <w:separator/>
      </w:r>
    </w:p>
  </w:footnote>
  <w:footnote w:type="continuationSeparator" w:id="1">
    <w:p w:rsidR="00A6756C" w:rsidRDefault="00A6756C" w:rsidP="00CB0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E39" w:rsidRPr="00160480" w:rsidRDefault="00D11891" w:rsidP="00CB0FF5">
    <w:pPr>
      <w:jc w:val="both"/>
      <w:rPr>
        <w:rFonts w:ascii="Arial" w:hAnsi="Arial" w:cs="Arial"/>
      </w:rPr>
    </w:pPr>
    <w:r w:rsidRPr="00D1189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19.1pt;margin-top:-32.1pt;width:37.9pt;height:56pt;z-index:251660288" o:allowincell="f">
          <v:imagedata r:id="rId1" o:title=""/>
          <w10:wrap type="topAndBottom" anchorx="page"/>
        </v:shape>
        <o:OLEObject Type="Embed" ProgID="PBrush" ShapeID="_x0000_s6145" DrawAspect="Content" ObjectID="_1662531385" r:id="rId2"/>
      </w:pict>
    </w:r>
  </w:p>
  <w:p w:rsidR="00200E39" w:rsidRPr="00CB0FF5" w:rsidRDefault="00200E39" w:rsidP="00CB0FF5">
    <w:pPr>
      <w:pStyle w:val="Ttulo5"/>
      <w:ind w:hanging="1701"/>
      <w:jc w:val="both"/>
      <w:rPr>
        <w:rFonts w:ascii="Times New Roman" w:hAnsi="Times New Roman"/>
        <w:sz w:val="22"/>
        <w:szCs w:val="22"/>
      </w:rPr>
    </w:pPr>
    <w:r w:rsidRPr="001A7E93">
      <w:rPr>
        <w:rFonts w:ascii="Times New Roman" w:hAnsi="Times New Roman"/>
        <w:szCs w:val="24"/>
      </w:rPr>
      <w:t xml:space="preserve">                </w:t>
    </w:r>
    <w:r>
      <w:rPr>
        <w:rFonts w:ascii="Times New Roman" w:hAnsi="Times New Roman"/>
        <w:szCs w:val="24"/>
      </w:rPr>
      <w:t xml:space="preserve">   </w:t>
    </w:r>
    <w:r w:rsidRPr="00CB0FF5">
      <w:rPr>
        <w:rFonts w:ascii="Times New Roman" w:hAnsi="Times New Roman"/>
        <w:sz w:val="22"/>
        <w:szCs w:val="22"/>
      </w:rPr>
      <w:t>PROVINCIA del CHACO</w:t>
    </w:r>
  </w:p>
  <w:p w:rsidR="00200E39" w:rsidRPr="00CB0FF5" w:rsidRDefault="00200E39" w:rsidP="00CB0FF5">
    <w:pPr>
      <w:pStyle w:val="Ttulo6"/>
      <w:ind w:hanging="1418"/>
      <w:jc w:val="both"/>
      <w:rPr>
        <w:rFonts w:ascii="Times New Roman" w:hAnsi="Times New Roman"/>
        <w:sz w:val="22"/>
        <w:szCs w:val="22"/>
      </w:rPr>
    </w:pPr>
    <w:r w:rsidRPr="00CB0FF5">
      <w:rPr>
        <w:rFonts w:ascii="Times New Roman" w:hAnsi="Times New Roman"/>
        <w:sz w:val="22"/>
        <w:szCs w:val="22"/>
      </w:rPr>
      <w:t xml:space="preserve">                 Ministerio de Gobierno, Justicia y Trabajo</w:t>
    </w:r>
  </w:p>
  <w:p w:rsidR="00200E39" w:rsidRPr="00CB0FF5" w:rsidRDefault="00200E39" w:rsidP="00CB0FF5">
    <w:pPr>
      <w:pStyle w:val="Ttulo1"/>
      <w:ind w:hanging="567"/>
      <w:jc w:val="both"/>
      <w:rPr>
        <w:rFonts w:ascii="Times New Roman" w:hAnsi="Times New Roman" w:cs="Times New Roman"/>
        <w:b w:val="0"/>
        <w:sz w:val="22"/>
        <w:szCs w:val="22"/>
      </w:rPr>
    </w:pPr>
    <w:r w:rsidRPr="00CB0FF5">
      <w:rPr>
        <w:rFonts w:ascii="Times New Roman" w:hAnsi="Times New Roman" w:cs="Times New Roman"/>
        <w:b w:val="0"/>
        <w:sz w:val="22"/>
        <w:szCs w:val="22"/>
      </w:rPr>
      <w:t xml:space="preserve">         Registro de la Propiedad Inmueble </w:t>
    </w:r>
  </w:p>
  <w:p w:rsidR="00200E39" w:rsidRPr="00CB0FF5" w:rsidRDefault="00200E39" w:rsidP="00CB0FF5">
    <w:pPr>
      <w:pStyle w:val="Ttulo1"/>
      <w:ind w:hanging="992"/>
      <w:jc w:val="both"/>
      <w:rPr>
        <w:rFonts w:ascii="Times New Roman" w:hAnsi="Times New Roman" w:cs="Times New Roman"/>
        <w:b w:val="0"/>
        <w:i w:val="0"/>
        <w:sz w:val="22"/>
        <w:szCs w:val="22"/>
      </w:rPr>
    </w:pPr>
    <w:r w:rsidRPr="00CB0FF5">
      <w:rPr>
        <w:rFonts w:ascii="Times New Roman" w:hAnsi="Times New Roman" w:cs="Times New Roman"/>
        <w:b w:val="0"/>
        <w:i w:val="0"/>
        <w:sz w:val="22"/>
        <w:szCs w:val="22"/>
      </w:rPr>
      <w:t xml:space="preserve"> </w:t>
    </w:r>
    <w:r w:rsidRPr="00CB0FF5">
      <w:rPr>
        <w:rFonts w:ascii="Times New Roman" w:hAnsi="Times New Roman" w:cs="Times New Roman"/>
        <w:b w:val="0"/>
        <w:i w:val="0"/>
        <w:sz w:val="22"/>
        <w:szCs w:val="22"/>
      </w:rPr>
      <w:tab/>
      <w:t xml:space="preserve"> Avda Las Heras y Juan B. Justo</w:t>
    </w:r>
  </w:p>
  <w:p w:rsidR="00200E39" w:rsidRPr="00CB0FF5" w:rsidRDefault="00200E39" w:rsidP="00CB0FF5">
    <w:pPr>
      <w:pStyle w:val="Ttulo1"/>
      <w:ind w:hanging="992"/>
      <w:jc w:val="both"/>
      <w:rPr>
        <w:rFonts w:ascii="Times New Roman" w:hAnsi="Times New Roman" w:cs="Times New Roman"/>
        <w:b w:val="0"/>
        <w:i w:val="0"/>
        <w:sz w:val="22"/>
        <w:szCs w:val="22"/>
      </w:rPr>
    </w:pPr>
    <w:r w:rsidRPr="00CB0FF5">
      <w:rPr>
        <w:rFonts w:ascii="Times New Roman" w:hAnsi="Times New Roman" w:cs="Times New Roman"/>
        <w:b w:val="0"/>
        <w:i w:val="0"/>
        <w:sz w:val="22"/>
        <w:szCs w:val="22"/>
      </w:rPr>
      <w:t xml:space="preserve"> </w:t>
    </w:r>
    <w:r w:rsidRPr="00CB0FF5">
      <w:rPr>
        <w:rFonts w:ascii="Times New Roman" w:hAnsi="Times New Roman" w:cs="Times New Roman"/>
        <w:b w:val="0"/>
        <w:i w:val="0"/>
        <w:sz w:val="22"/>
        <w:szCs w:val="22"/>
      </w:rPr>
      <w:tab/>
      <w:t>Resistencia – T. E. Nº 0362–423266</w:t>
    </w:r>
  </w:p>
  <w:p w:rsidR="00200E39" w:rsidRDefault="00200E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5A1"/>
    <w:multiLevelType w:val="hybridMultilevel"/>
    <w:tmpl w:val="6038CD7E"/>
    <w:lvl w:ilvl="0" w:tplc="E1A2B9C6">
      <w:start w:val="1"/>
      <w:numFmt w:val="decimal"/>
      <w:lvlText w:val="%1)"/>
      <w:lvlJc w:val="left"/>
      <w:pPr>
        <w:ind w:left="248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33421F4B"/>
    <w:multiLevelType w:val="hybridMultilevel"/>
    <w:tmpl w:val="9F70F33E"/>
    <w:lvl w:ilvl="0" w:tplc="346432C2">
      <w:start w:val="1"/>
      <w:numFmt w:val="lowerLetter"/>
      <w:lvlText w:val="%1)"/>
      <w:lvlJc w:val="left"/>
      <w:pPr>
        <w:ind w:left="2844"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hyphenationZone w:val="425"/>
  <w:drawingGridHorizontalSpacing w:val="110"/>
  <w:displayHorizontalDrawingGridEvery w:val="2"/>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F96288"/>
    <w:rsid w:val="0005507F"/>
    <w:rsid w:val="00132628"/>
    <w:rsid w:val="00200E39"/>
    <w:rsid w:val="00255A7C"/>
    <w:rsid w:val="002C31BA"/>
    <w:rsid w:val="003960CC"/>
    <w:rsid w:val="003A3B65"/>
    <w:rsid w:val="004D3FB2"/>
    <w:rsid w:val="0053045F"/>
    <w:rsid w:val="00597579"/>
    <w:rsid w:val="00655563"/>
    <w:rsid w:val="006859E1"/>
    <w:rsid w:val="00734782"/>
    <w:rsid w:val="00807BE8"/>
    <w:rsid w:val="008F3E20"/>
    <w:rsid w:val="00941719"/>
    <w:rsid w:val="00966DA8"/>
    <w:rsid w:val="009909D1"/>
    <w:rsid w:val="00A00963"/>
    <w:rsid w:val="00A07655"/>
    <w:rsid w:val="00A6756C"/>
    <w:rsid w:val="00AA5EB4"/>
    <w:rsid w:val="00B16F59"/>
    <w:rsid w:val="00B74449"/>
    <w:rsid w:val="00C00816"/>
    <w:rsid w:val="00C958E3"/>
    <w:rsid w:val="00CB0FF5"/>
    <w:rsid w:val="00CD2024"/>
    <w:rsid w:val="00CD739F"/>
    <w:rsid w:val="00D11891"/>
    <w:rsid w:val="00F71E39"/>
    <w:rsid w:val="00F962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88"/>
  </w:style>
  <w:style w:type="paragraph" w:styleId="Ttulo1">
    <w:name w:val="heading 1"/>
    <w:basedOn w:val="Normal"/>
    <w:next w:val="Normal"/>
    <w:link w:val="Ttulo1Car"/>
    <w:qFormat/>
    <w:rsid w:val="00CB0FF5"/>
    <w:pPr>
      <w:keepNext/>
      <w:spacing w:after="0" w:line="240" w:lineRule="auto"/>
      <w:ind w:left="-709" w:firstLine="142"/>
      <w:outlineLvl w:val="0"/>
    </w:pPr>
    <w:rPr>
      <w:rFonts w:ascii="Arial Black" w:eastAsia="Arial Unicode MS" w:hAnsi="Arial Black" w:cs="Arial Unicode MS"/>
      <w:b/>
      <w:i/>
      <w:sz w:val="16"/>
      <w:szCs w:val="20"/>
      <w:lang w:val="es-ES" w:eastAsia="es-ES"/>
    </w:rPr>
  </w:style>
  <w:style w:type="paragraph" w:styleId="Ttulo5">
    <w:name w:val="heading 5"/>
    <w:basedOn w:val="Normal"/>
    <w:next w:val="Normal"/>
    <w:link w:val="Ttulo5Car"/>
    <w:unhideWhenUsed/>
    <w:qFormat/>
    <w:rsid w:val="00CB0FF5"/>
    <w:pPr>
      <w:keepNext/>
      <w:spacing w:after="0" w:line="240" w:lineRule="auto"/>
      <w:ind w:firstLine="142"/>
      <w:outlineLvl w:val="4"/>
    </w:pPr>
    <w:rPr>
      <w:rFonts w:ascii="Arial" w:eastAsia="Arial Unicode MS" w:hAnsi="Arial" w:cs="Times New Roman"/>
      <w:b/>
      <w:sz w:val="24"/>
      <w:szCs w:val="20"/>
      <w:lang w:val="es-ES" w:eastAsia="es-ES"/>
    </w:rPr>
  </w:style>
  <w:style w:type="paragraph" w:styleId="Ttulo6">
    <w:name w:val="heading 6"/>
    <w:basedOn w:val="Normal"/>
    <w:next w:val="Normal"/>
    <w:link w:val="Ttulo6Car"/>
    <w:semiHidden/>
    <w:unhideWhenUsed/>
    <w:qFormat/>
    <w:rsid w:val="00CB0FF5"/>
    <w:pPr>
      <w:keepNext/>
      <w:spacing w:after="0" w:line="240" w:lineRule="auto"/>
      <w:ind w:left="-709" w:firstLine="425"/>
      <w:outlineLvl w:val="5"/>
    </w:pPr>
    <w:rPr>
      <w:rFonts w:ascii="Arial" w:eastAsia="Arial Unicode MS" w:hAnsi="Arial" w:cs="Times New Roman"/>
      <w:b/>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288"/>
    <w:pPr>
      <w:ind w:left="720"/>
      <w:contextualSpacing/>
    </w:pPr>
  </w:style>
  <w:style w:type="character" w:customStyle="1" w:styleId="Ttulo1Car">
    <w:name w:val="Título 1 Car"/>
    <w:basedOn w:val="Fuentedeprrafopredeter"/>
    <w:link w:val="Ttulo1"/>
    <w:rsid w:val="00CB0FF5"/>
    <w:rPr>
      <w:rFonts w:ascii="Arial Black" w:eastAsia="Arial Unicode MS" w:hAnsi="Arial Black" w:cs="Arial Unicode MS"/>
      <w:b/>
      <w:i/>
      <w:sz w:val="16"/>
      <w:szCs w:val="20"/>
      <w:lang w:val="es-ES" w:eastAsia="es-ES"/>
    </w:rPr>
  </w:style>
  <w:style w:type="character" w:customStyle="1" w:styleId="Ttulo5Car">
    <w:name w:val="Título 5 Car"/>
    <w:basedOn w:val="Fuentedeprrafopredeter"/>
    <w:link w:val="Ttulo5"/>
    <w:rsid w:val="00CB0FF5"/>
    <w:rPr>
      <w:rFonts w:ascii="Arial" w:eastAsia="Arial Unicode MS" w:hAnsi="Arial" w:cs="Times New Roman"/>
      <w:b/>
      <w:sz w:val="24"/>
      <w:szCs w:val="20"/>
      <w:lang w:val="es-ES" w:eastAsia="es-ES"/>
    </w:rPr>
  </w:style>
  <w:style w:type="character" w:customStyle="1" w:styleId="Ttulo6Car">
    <w:name w:val="Título 6 Car"/>
    <w:basedOn w:val="Fuentedeprrafopredeter"/>
    <w:link w:val="Ttulo6"/>
    <w:semiHidden/>
    <w:rsid w:val="00CB0FF5"/>
    <w:rPr>
      <w:rFonts w:ascii="Arial" w:eastAsia="Arial Unicode MS" w:hAnsi="Arial" w:cs="Times New Roman"/>
      <w:b/>
      <w:i/>
      <w:sz w:val="20"/>
      <w:szCs w:val="20"/>
      <w:lang w:val="es-ES" w:eastAsia="es-ES"/>
    </w:rPr>
  </w:style>
  <w:style w:type="paragraph" w:styleId="Encabezado">
    <w:name w:val="header"/>
    <w:basedOn w:val="Normal"/>
    <w:link w:val="EncabezadoCar"/>
    <w:uiPriority w:val="99"/>
    <w:semiHidden/>
    <w:unhideWhenUsed/>
    <w:rsid w:val="00CB0F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B0FF5"/>
  </w:style>
  <w:style w:type="paragraph" w:styleId="Piedepgina">
    <w:name w:val="footer"/>
    <w:basedOn w:val="Normal"/>
    <w:link w:val="PiedepginaCar"/>
    <w:uiPriority w:val="99"/>
    <w:semiHidden/>
    <w:unhideWhenUsed/>
    <w:rsid w:val="00CB0F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B0FF5"/>
  </w:style>
</w:styles>
</file>

<file path=word/webSettings.xml><?xml version="1.0" encoding="utf-8"?>
<w:webSettings xmlns:r="http://schemas.openxmlformats.org/officeDocument/2006/relationships" xmlns:w="http://schemas.openxmlformats.org/wordprocessingml/2006/main">
  <w:divs>
    <w:div w:id="3310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AE888-C433-4F60-9EB0-98191E31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667</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9</cp:revision>
  <cp:lastPrinted>2019-04-26T14:07:00Z</cp:lastPrinted>
  <dcterms:created xsi:type="dcterms:W3CDTF">2019-04-22T11:51:00Z</dcterms:created>
  <dcterms:modified xsi:type="dcterms:W3CDTF">2020-09-25T12:30:00Z</dcterms:modified>
</cp:coreProperties>
</file>