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8" w:rsidRDefault="00764CA8" w:rsidP="00764CA8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764CA8" w:rsidRDefault="003243C3" w:rsidP="00764CA8">
      <w:pPr>
        <w:pStyle w:val="Ttulo6"/>
        <w:rPr>
          <w:rFonts w:ascii="Arial" w:hAnsi="Arial" w:cs="Arial"/>
          <w:b/>
        </w:rPr>
      </w:pPr>
      <w:r w:rsidRPr="003243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349" r:id="rId6"/>
        </w:pict>
      </w:r>
      <w:r w:rsidR="00764CA8">
        <w:rPr>
          <w:rFonts w:ascii="Arial" w:hAnsi="Arial" w:cs="Arial"/>
          <w:b/>
        </w:rPr>
        <w:t>Ministerio</w:t>
      </w:r>
      <w:r w:rsidR="0047764E">
        <w:rPr>
          <w:rFonts w:ascii="Arial" w:hAnsi="Arial" w:cs="Arial"/>
          <w:b/>
        </w:rPr>
        <w:t xml:space="preserve"> de Gobierno, Justicia y Seguridad</w:t>
      </w:r>
    </w:p>
    <w:p w:rsidR="00764CA8" w:rsidRDefault="00764CA8" w:rsidP="0076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764CA8" w:rsidRDefault="00764CA8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B6892" w:rsidRDefault="00EB6892" w:rsidP="00EB6892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87587D" w:rsidRPr="00764CA8" w:rsidRDefault="007050F3" w:rsidP="007050F3">
      <w:pPr>
        <w:spacing w:after="12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Resistencia, 17 </w:t>
      </w:r>
      <w:r w:rsidR="0087587D" w:rsidRPr="00764CA8">
        <w:rPr>
          <w:rFonts w:ascii="Times New Roman" w:hAnsi="Times New Roman" w:cs="Times New Roman"/>
          <w:sz w:val="24"/>
          <w:szCs w:val="24"/>
        </w:rPr>
        <w:t>de julio de 2015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764CA8" w:rsidRDefault="0087587D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764C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87D" w:rsidRPr="00764CA8" w:rsidRDefault="0087587D" w:rsidP="00764CA8">
      <w:pPr>
        <w:spacing w:after="12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El artículo 308 del Código Civil y Comercial de la Nación.</w:t>
      </w:r>
    </w:p>
    <w:p w:rsidR="00764CA8" w:rsidRDefault="0087587D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764C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87D" w:rsidRPr="00764CA8" w:rsidRDefault="0087587D" w:rsidP="00764CA8">
      <w:pPr>
        <w:spacing w:after="12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Que los segundos o ulteriores testimonios que contengan obligaciones pendientes de cumplimiento se registrarán en forma definitiva, siempre que en la documentación ingresada (Escritura Notarial, y minutas rogatorias), surja que en la expedición de los mismos se han cumplido algunos de los siguientes supuestos:</w:t>
      </w:r>
    </w:p>
    <w:p w:rsidR="0087587D" w:rsidRPr="00764CA8" w:rsidRDefault="0087587D" w:rsidP="00764CA8">
      <w:pPr>
        <w:pStyle w:val="Prrafodelista"/>
        <w:numPr>
          <w:ilvl w:val="0"/>
          <w:numId w:val="1"/>
        </w:numPr>
        <w:spacing w:after="120"/>
        <w:ind w:left="2694" w:hanging="709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Acreditación por instrumento público de la extinción de la obligación</w:t>
      </w:r>
    </w:p>
    <w:p w:rsidR="0087587D" w:rsidRPr="00764CA8" w:rsidRDefault="0087587D" w:rsidP="00764CA8">
      <w:pPr>
        <w:pStyle w:val="Prrafodelista"/>
        <w:numPr>
          <w:ilvl w:val="0"/>
          <w:numId w:val="1"/>
        </w:numPr>
        <w:spacing w:after="12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La conformidad del acreedor.</w:t>
      </w:r>
    </w:p>
    <w:p w:rsidR="0013678F" w:rsidRDefault="0087587D" w:rsidP="0013678F">
      <w:pPr>
        <w:pStyle w:val="Prrafodelista"/>
        <w:numPr>
          <w:ilvl w:val="0"/>
          <w:numId w:val="1"/>
        </w:numPr>
        <w:spacing w:after="120"/>
        <w:ind w:left="0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La autorización judicial correspondiente</w:t>
      </w:r>
    </w:p>
    <w:p w:rsidR="0013678F" w:rsidRPr="0013678F" w:rsidRDefault="0013678F" w:rsidP="0013678F">
      <w:pPr>
        <w:pStyle w:val="Prrafodelista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Que esta Disposición actualiza el texto de la Disposición Técnica Registral Nº2/98. </w:t>
      </w:r>
    </w:p>
    <w:p w:rsidR="0087587D" w:rsidRPr="00764CA8" w:rsidRDefault="0087587D" w:rsidP="00764CA8">
      <w:pPr>
        <w:spacing w:after="12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Que en uso de las atribuciones conferidas por el art. 36 inc. d) del Dto. 306/69</w:t>
      </w:r>
    </w:p>
    <w:p w:rsidR="0087587D" w:rsidRPr="00172B54" w:rsidRDefault="0087587D" w:rsidP="00172B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B54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87587D" w:rsidRPr="00172B54" w:rsidRDefault="0087587D" w:rsidP="00172B5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B54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87587D" w:rsidRPr="00764CA8" w:rsidRDefault="0087587D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>ART. 1: INSC</w:t>
      </w:r>
      <w:r w:rsidR="00F721A2">
        <w:rPr>
          <w:rFonts w:ascii="Times New Roman" w:hAnsi="Times New Roman" w:cs="Times New Roman"/>
          <w:sz w:val="24"/>
          <w:szCs w:val="24"/>
        </w:rPr>
        <w:t>RIBIR los segundos</w:t>
      </w:r>
      <w:r w:rsidRPr="00764CA8">
        <w:rPr>
          <w:rFonts w:ascii="Times New Roman" w:hAnsi="Times New Roman" w:cs="Times New Roman"/>
          <w:sz w:val="24"/>
          <w:szCs w:val="24"/>
        </w:rPr>
        <w:t xml:space="preserve"> o ulteriores testimonios que contengan obligaciones pendientes de cumplimiento</w:t>
      </w:r>
      <w:r w:rsidR="00F721A2">
        <w:rPr>
          <w:rFonts w:ascii="Times New Roman" w:hAnsi="Times New Roman" w:cs="Times New Roman"/>
          <w:sz w:val="24"/>
          <w:szCs w:val="24"/>
        </w:rPr>
        <w:t>, siempre que del mismo surja el cumplimiento de lo dispuesto en el artículo 308 último párrafo</w:t>
      </w:r>
      <w:r w:rsidRPr="00764CA8">
        <w:rPr>
          <w:rFonts w:ascii="Times New Roman" w:hAnsi="Times New Roman" w:cs="Times New Roman"/>
          <w:sz w:val="24"/>
          <w:szCs w:val="24"/>
        </w:rPr>
        <w:t>, conforme lo dispuesto en los considerandos de la presente Disposición.</w:t>
      </w:r>
    </w:p>
    <w:p w:rsidR="0013678F" w:rsidRDefault="0087587D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64CA8">
        <w:rPr>
          <w:rFonts w:ascii="Times New Roman" w:hAnsi="Times New Roman" w:cs="Times New Roman"/>
          <w:sz w:val="24"/>
          <w:szCs w:val="24"/>
        </w:rPr>
        <w:t xml:space="preserve">ART. 2: </w:t>
      </w:r>
      <w:r w:rsidR="0013678F">
        <w:rPr>
          <w:rFonts w:ascii="Times New Roman" w:hAnsi="Times New Roman" w:cs="Times New Roman"/>
          <w:sz w:val="24"/>
          <w:szCs w:val="24"/>
        </w:rPr>
        <w:t>ACTUALIZAR el texto de la Disposición Técnica Registral Nº2/98.</w:t>
      </w:r>
    </w:p>
    <w:p w:rsidR="00172B54" w:rsidRDefault="0013678F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3: </w:t>
      </w:r>
      <w:r w:rsidR="0087587D" w:rsidRPr="00764CA8">
        <w:rPr>
          <w:rFonts w:ascii="Times New Roman" w:hAnsi="Times New Roman" w:cs="Times New Roman"/>
          <w:sz w:val="24"/>
          <w:szCs w:val="24"/>
        </w:rPr>
        <w:t>NOTIFIQUESE, regístrese, publíquese en el Boletín Oficial y archívese.</w:t>
      </w:r>
    </w:p>
    <w:p w:rsidR="007050F3" w:rsidRDefault="007050F3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050F3" w:rsidRDefault="0087587D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2B54">
        <w:rPr>
          <w:rFonts w:ascii="Times New Roman" w:hAnsi="Times New Roman" w:cs="Times New Roman"/>
          <w:b/>
          <w:sz w:val="24"/>
          <w:szCs w:val="24"/>
          <w:u w:val="single"/>
        </w:rPr>
        <w:t xml:space="preserve">DISPOSICION TECNICO REGISTRAL </w:t>
      </w:r>
      <w:r w:rsidR="007050F3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Pr="00172B5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7050F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72B5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764CA8">
        <w:rPr>
          <w:rFonts w:ascii="Times New Roman" w:hAnsi="Times New Roman" w:cs="Times New Roman"/>
          <w:sz w:val="24"/>
          <w:szCs w:val="24"/>
        </w:rPr>
        <w:t>.</w:t>
      </w:r>
      <w:r w:rsidR="007050F3">
        <w:rPr>
          <w:rFonts w:ascii="Times New Roman" w:hAnsi="Times New Roman" w:cs="Times New Roman"/>
          <w:sz w:val="24"/>
          <w:szCs w:val="24"/>
        </w:rPr>
        <w:t>-</w:t>
      </w:r>
    </w:p>
    <w:p w:rsidR="00AB0628" w:rsidRDefault="0087587D" w:rsidP="00AB0628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764CA8">
        <w:rPr>
          <w:rFonts w:ascii="Times New Roman" w:hAnsi="Times New Roman" w:cs="Times New Roman"/>
          <w:sz w:val="24"/>
          <w:szCs w:val="24"/>
        </w:rPr>
        <w:t xml:space="preserve"> </w:t>
      </w:r>
      <w:r w:rsidR="00AB0628">
        <w:rPr>
          <w:rFonts w:ascii="Times New Roman" w:hAnsi="Times New Roman" w:cs="Times New Roman"/>
        </w:rPr>
        <w:t>LILIA NOEMI DIEZ</w:t>
      </w:r>
    </w:p>
    <w:p w:rsidR="00AB0628" w:rsidRDefault="00AB0628" w:rsidP="00AB0628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AB0628" w:rsidRDefault="00AB0628" w:rsidP="00AB0628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AB0628" w:rsidRDefault="00AB0628" w:rsidP="00AB0628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AB0628" w:rsidRDefault="00AB0628" w:rsidP="00AB06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87D" w:rsidRPr="00764CA8" w:rsidRDefault="0087587D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45102" w:rsidRPr="00764CA8" w:rsidRDefault="00E45102" w:rsidP="00764CA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E45102" w:rsidRPr="00764CA8" w:rsidSect="00DA727B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AC"/>
    <w:multiLevelType w:val="hybridMultilevel"/>
    <w:tmpl w:val="5E36931C"/>
    <w:lvl w:ilvl="0" w:tplc="4CAAA2BA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915" w:hanging="360"/>
      </w:pPr>
    </w:lvl>
    <w:lvl w:ilvl="2" w:tplc="2C0A001B" w:tentative="1">
      <w:start w:val="1"/>
      <w:numFmt w:val="lowerRoman"/>
      <w:lvlText w:val="%3."/>
      <w:lvlJc w:val="right"/>
      <w:pPr>
        <w:ind w:left="4635" w:hanging="180"/>
      </w:pPr>
    </w:lvl>
    <w:lvl w:ilvl="3" w:tplc="2C0A000F" w:tentative="1">
      <w:start w:val="1"/>
      <w:numFmt w:val="decimal"/>
      <w:lvlText w:val="%4."/>
      <w:lvlJc w:val="left"/>
      <w:pPr>
        <w:ind w:left="5355" w:hanging="360"/>
      </w:pPr>
    </w:lvl>
    <w:lvl w:ilvl="4" w:tplc="2C0A0019" w:tentative="1">
      <w:start w:val="1"/>
      <w:numFmt w:val="lowerLetter"/>
      <w:lvlText w:val="%5."/>
      <w:lvlJc w:val="left"/>
      <w:pPr>
        <w:ind w:left="6075" w:hanging="360"/>
      </w:pPr>
    </w:lvl>
    <w:lvl w:ilvl="5" w:tplc="2C0A001B" w:tentative="1">
      <w:start w:val="1"/>
      <w:numFmt w:val="lowerRoman"/>
      <w:lvlText w:val="%6."/>
      <w:lvlJc w:val="right"/>
      <w:pPr>
        <w:ind w:left="6795" w:hanging="180"/>
      </w:pPr>
    </w:lvl>
    <w:lvl w:ilvl="6" w:tplc="2C0A000F" w:tentative="1">
      <w:start w:val="1"/>
      <w:numFmt w:val="decimal"/>
      <w:lvlText w:val="%7."/>
      <w:lvlJc w:val="left"/>
      <w:pPr>
        <w:ind w:left="7515" w:hanging="360"/>
      </w:pPr>
    </w:lvl>
    <w:lvl w:ilvl="7" w:tplc="2C0A0019" w:tentative="1">
      <w:start w:val="1"/>
      <w:numFmt w:val="lowerLetter"/>
      <w:lvlText w:val="%8."/>
      <w:lvlJc w:val="left"/>
      <w:pPr>
        <w:ind w:left="8235" w:hanging="360"/>
      </w:pPr>
    </w:lvl>
    <w:lvl w:ilvl="8" w:tplc="2C0A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7587D"/>
    <w:rsid w:val="0013678F"/>
    <w:rsid w:val="00172B54"/>
    <w:rsid w:val="003243C3"/>
    <w:rsid w:val="00444D3A"/>
    <w:rsid w:val="0047764E"/>
    <w:rsid w:val="007050F3"/>
    <w:rsid w:val="00764CA8"/>
    <w:rsid w:val="00776B69"/>
    <w:rsid w:val="0087587D"/>
    <w:rsid w:val="00A147F9"/>
    <w:rsid w:val="00AB0628"/>
    <w:rsid w:val="00B44AC2"/>
    <w:rsid w:val="00C65AB9"/>
    <w:rsid w:val="00D80FA6"/>
    <w:rsid w:val="00DA727B"/>
    <w:rsid w:val="00E27222"/>
    <w:rsid w:val="00E45102"/>
    <w:rsid w:val="00E611A0"/>
    <w:rsid w:val="00EB6892"/>
    <w:rsid w:val="00F7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7D"/>
  </w:style>
  <w:style w:type="paragraph" w:styleId="Ttulo6">
    <w:name w:val="heading 6"/>
    <w:basedOn w:val="Normal"/>
    <w:next w:val="Normal"/>
    <w:link w:val="Ttulo6Car"/>
    <w:semiHidden/>
    <w:unhideWhenUsed/>
    <w:qFormat/>
    <w:rsid w:val="00764CA8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87D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semiHidden/>
    <w:rsid w:val="00764CA8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10</cp:revision>
  <cp:lastPrinted>2015-08-07T10:49:00Z</cp:lastPrinted>
  <dcterms:created xsi:type="dcterms:W3CDTF">2015-07-13T20:52:00Z</dcterms:created>
  <dcterms:modified xsi:type="dcterms:W3CDTF">2015-10-27T11:06:00Z</dcterms:modified>
</cp:coreProperties>
</file>