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A0" w:rsidRDefault="00B10969" w:rsidP="006017A0">
      <w:pPr>
        <w:spacing w:after="0"/>
        <w:ind w:right="3878"/>
        <w:jc w:val="center"/>
        <w:rPr>
          <w:rFonts w:ascii="Arial" w:hAnsi="Arial" w:cs="Arial"/>
          <w:b/>
        </w:rPr>
      </w:pPr>
      <w:r w:rsidRPr="00B10969">
        <w:rPr>
          <w:rFonts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85pt;margin-top:-30.1pt;width:37.9pt;height:56pt;z-index:251660288">
            <v:imagedata r:id="rId7" o:title=""/>
            <w10:wrap type="topAndBottom"/>
          </v:shape>
          <o:OLEObject Type="Embed" ProgID="PBrush" ShapeID="_x0000_s1026" DrawAspect="Content" ObjectID="_1506491429" r:id="rId8"/>
        </w:pict>
      </w:r>
      <w:r w:rsidR="006017A0">
        <w:rPr>
          <w:rFonts w:ascii="Arial" w:hAnsi="Arial" w:cs="Arial"/>
          <w:b/>
          <w:noProof/>
        </w:rPr>
        <w:t>PROVINCIA del CHACO</w:t>
      </w:r>
    </w:p>
    <w:p w:rsidR="006017A0" w:rsidRDefault="006017A0" w:rsidP="006017A0">
      <w:pPr>
        <w:pStyle w:val="Ttulo6"/>
        <w:rPr>
          <w:rFonts w:cs="Arial"/>
        </w:rPr>
      </w:pPr>
      <w:r>
        <w:rPr>
          <w:rFonts w:cs="Arial"/>
        </w:rPr>
        <w:t xml:space="preserve">                  Ministerio de Gobierno, Justicia y Seguridad</w:t>
      </w:r>
    </w:p>
    <w:p w:rsidR="006017A0" w:rsidRDefault="006017A0" w:rsidP="006017A0">
      <w:pPr>
        <w:pStyle w:val="Ttulo1"/>
        <w:ind w:right="3878" w:firstLine="0"/>
        <w:jc w:val="center"/>
        <w:rPr>
          <w:b/>
        </w:rP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6017A0" w:rsidRDefault="006017A0" w:rsidP="006017A0">
      <w:pPr>
        <w:pStyle w:val="Ttulo1"/>
        <w:ind w:left="-709" w:right="5958" w:hanging="551"/>
        <w:jc w:val="center"/>
        <w:rPr>
          <w:rFonts w:ascii="Arial Black" w:hAnsi="Arial Black"/>
          <w:sz w:val="16"/>
        </w:rPr>
      </w:pPr>
    </w:p>
    <w:p w:rsidR="006017A0" w:rsidRPr="006017A0" w:rsidRDefault="006017A0" w:rsidP="006017A0">
      <w:pPr>
        <w:ind w:right="51"/>
        <w:jc w:val="center"/>
        <w:rPr>
          <w:rFonts w:ascii="Times New Roman" w:hAnsi="Times New Roman" w:cs="Times New Roman"/>
          <w:sz w:val="24"/>
          <w:szCs w:val="24"/>
        </w:rPr>
      </w:pPr>
      <w:r w:rsidRPr="006017A0">
        <w:rPr>
          <w:rFonts w:ascii="Times New Roman" w:hAnsi="Times New Roman" w:cs="Times New Roman"/>
          <w:i/>
          <w:iCs/>
          <w:sz w:val="24"/>
          <w:szCs w:val="24"/>
        </w:rPr>
        <w:t>2015 –Año de las personas con discapacidad, por una sociedad inclusiva – Ley 7528.-</w:t>
      </w:r>
    </w:p>
    <w:p w:rsidR="006017A0" w:rsidRPr="006017A0" w:rsidRDefault="006F7376" w:rsidP="006017A0">
      <w:pPr>
        <w:spacing w:after="0"/>
        <w:jc w:val="both"/>
        <w:rPr>
          <w:rFonts w:ascii="Times New Roman" w:hAnsi="Times New Roman" w:cs="Times New Roman"/>
          <w:sz w:val="16"/>
          <w:szCs w:val="16"/>
        </w:rPr>
      </w:pPr>
      <w:r>
        <w:rPr>
          <w:sz w:val="28"/>
          <w:szCs w:val="28"/>
        </w:rPr>
        <w:tab/>
      </w:r>
      <w:r>
        <w:rPr>
          <w:sz w:val="28"/>
          <w:szCs w:val="28"/>
        </w:rPr>
        <w:tab/>
      </w:r>
    </w:p>
    <w:p w:rsidR="00821940" w:rsidRPr="00954911" w:rsidRDefault="006F7376" w:rsidP="006F43D6">
      <w:pPr>
        <w:spacing w:after="0"/>
        <w:jc w:val="right"/>
        <w:rPr>
          <w:rFonts w:ascii="Times New Roman" w:hAnsi="Times New Roman" w:cs="Times New Roman"/>
          <w:sz w:val="24"/>
          <w:szCs w:val="24"/>
        </w:rPr>
      </w:pPr>
      <w:r w:rsidRPr="00954911">
        <w:rPr>
          <w:rFonts w:ascii="Times New Roman" w:hAnsi="Times New Roman" w:cs="Times New Roman"/>
          <w:sz w:val="24"/>
          <w:szCs w:val="24"/>
        </w:rPr>
        <w:t xml:space="preserve">Resistencia,  </w:t>
      </w:r>
      <w:r w:rsidR="00471751" w:rsidRPr="00954911">
        <w:rPr>
          <w:rFonts w:ascii="Times New Roman" w:hAnsi="Times New Roman" w:cs="Times New Roman"/>
          <w:sz w:val="24"/>
          <w:szCs w:val="24"/>
        </w:rPr>
        <w:t>17 de jul</w:t>
      </w:r>
      <w:r w:rsidRPr="00954911">
        <w:rPr>
          <w:rFonts w:ascii="Times New Roman" w:hAnsi="Times New Roman" w:cs="Times New Roman"/>
          <w:sz w:val="24"/>
          <w:szCs w:val="24"/>
        </w:rPr>
        <w:t xml:space="preserve">io </w:t>
      </w:r>
      <w:r w:rsidR="00821940" w:rsidRPr="00954911">
        <w:rPr>
          <w:rFonts w:ascii="Times New Roman" w:hAnsi="Times New Roman" w:cs="Times New Roman"/>
          <w:sz w:val="24"/>
          <w:szCs w:val="24"/>
        </w:rPr>
        <w:t>de 2015.</w:t>
      </w:r>
    </w:p>
    <w:p w:rsidR="00821940" w:rsidRPr="00954911" w:rsidRDefault="00821940" w:rsidP="006F43D6">
      <w:pPr>
        <w:spacing w:after="0"/>
        <w:jc w:val="both"/>
        <w:rPr>
          <w:rFonts w:ascii="Times New Roman" w:hAnsi="Times New Roman" w:cs="Times New Roman"/>
          <w:sz w:val="24"/>
          <w:szCs w:val="24"/>
        </w:rPr>
      </w:pPr>
    </w:p>
    <w:p w:rsidR="00821940" w:rsidRPr="00954911" w:rsidRDefault="00821940" w:rsidP="006F43D6">
      <w:pPr>
        <w:spacing w:after="0" w:line="240" w:lineRule="auto"/>
        <w:jc w:val="both"/>
        <w:rPr>
          <w:rFonts w:ascii="Times New Roman" w:hAnsi="Times New Roman" w:cs="Times New Roman"/>
          <w:sz w:val="24"/>
          <w:szCs w:val="24"/>
        </w:rPr>
      </w:pPr>
      <w:r w:rsidRPr="006017A0">
        <w:rPr>
          <w:rFonts w:ascii="Times New Roman" w:hAnsi="Times New Roman" w:cs="Times New Roman"/>
          <w:b/>
          <w:sz w:val="24"/>
          <w:szCs w:val="24"/>
          <w:u w:val="single"/>
        </w:rPr>
        <w:t>VISTO:</w:t>
      </w:r>
      <w:r w:rsidRPr="00954911">
        <w:rPr>
          <w:rFonts w:ascii="Times New Roman" w:hAnsi="Times New Roman" w:cs="Times New Roman"/>
          <w:sz w:val="24"/>
          <w:szCs w:val="24"/>
        </w:rPr>
        <w:t xml:space="preserve"> Los Oficios ingresados Nº 2442, 2443, 2444,  del 23 de febrero, 3137 del 4 de marzo, 4746 del 25 de marzo, en fecha 23 de marzo, 4741 del 25 de marzo del corriente, </w:t>
      </w:r>
    </w:p>
    <w:p w:rsidR="00821940" w:rsidRPr="00954911" w:rsidRDefault="00821940" w:rsidP="006F43D6">
      <w:pPr>
        <w:spacing w:after="0" w:line="240" w:lineRule="auto"/>
        <w:jc w:val="both"/>
        <w:rPr>
          <w:rFonts w:ascii="Times New Roman" w:hAnsi="Times New Roman" w:cs="Times New Roman"/>
          <w:sz w:val="24"/>
          <w:szCs w:val="24"/>
        </w:rPr>
      </w:pPr>
      <w:r w:rsidRPr="006017A0">
        <w:rPr>
          <w:rFonts w:ascii="Times New Roman" w:hAnsi="Times New Roman" w:cs="Times New Roman"/>
          <w:b/>
          <w:sz w:val="24"/>
          <w:szCs w:val="24"/>
          <w:u w:val="single"/>
        </w:rPr>
        <w:t>CONSIDERANDO:</w:t>
      </w:r>
      <w:r w:rsidRPr="00954911">
        <w:rPr>
          <w:rFonts w:ascii="Times New Roman" w:hAnsi="Times New Roman" w:cs="Times New Roman"/>
          <w:sz w:val="24"/>
          <w:szCs w:val="24"/>
        </w:rPr>
        <w:t xml:space="preserve"> Que los mismos fueron librados por el Juzgado Civil y Comercial Nº 10 y 23 de Resistencia, respectivamente, en procesos de quiebra.</w:t>
      </w:r>
      <w:r w:rsidR="006C6E5E" w:rsidRPr="00954911">
        <w:rPr>
          <w:rFonts w:ascii="Times New Roman" w:hAnsi="Times New Roman" w:cs="Times New Roman"/>
          <w:sz w:val="24"/>
          <w:szCs w:val="24"/>
        </w:rPr>
        <w:t xml:space="preserve"> Que varios de tales oficios, corresponden a Oficios librados por jueces de otra jurisdicción judicial.</w:t>
      </w:r>
    </w:p>
    <w:p w:rsidR="00821940" w:rsidRPr="00954911" w:rsidRDefault="00821940" w:rsidP="006F43D6">
      <w:pPr>
        <w:spacing w:after="0" w:line="240" w:lineRule="auto"/>
        <w:ind w:firstLine="1843"/>
        <w:jc w:val="both"/>
        <w:rPr>
          <w:rFonts w:ascii="Times New Roman" w:hAnsi="Times New Roman" w:cs="Times New Roman"/>
          <w:sz w:val="24"/>
          <w:szCs w:val="24"/>
        </w:rPr>
      </w:pPr>
      <w:r w:rsidRPr="00954911">
        <w:rPr>
          <w:rFonts w:ascii="Times New Roman" w:hAnsi="Times New Roman" w:cs="Times New Roman"/>
          <w:sz w:val="24"/>
          <w:szCs w:val="24"/>
        </w:rPr>
        <w:t xml:space="preserve">Que en los mismos se ruega </w:t>
      </w:r>
      <w:r w:rsidRPr="00954911">
        <w:rPr>
          <w:rFonts w:ascii="Times New Roman" w:hAnsi="Times New Roman" w:cs="Times New Roman"/>
          <w:i/>
          <w:sz w:val="24"/>
          <w:szCs w:val="24"/>
        </w:rPr>
        <w:t>“la toma de razón de la inhibición general de bienes sin límite de tiempo”</w:t>
      </w:r>
    </w:p>
    <w:p w:rsidR="003370BD" w:rsidRPr="00954911" w:rsidRDefault="006C6E5E" w:rsidP="006F43D6">
      <w:pPr>
        <w:pStyle w:val="Sangradetextonormal"/>
        <w:ind w:firstLine="1843"/>
        <w:rPr>
          <w:rFonts w:ascii="Times New Roman" w:hAnsi="Times New Roman" w:cs="Times New Roman"/>
        </w:rPr>
      </w:pPr>
      <w:r w:rsidRPr="00954911">
        <w:rPr>
          <w:rFonts w:ascii="Times New Roman" w:hAnsi="Times New Roman" w:cs="Times New Roman"/>
        </w:rPr>
        <w:t xml:space="preserve">Que </w:t>
      </w:r>
      <w:r w:rsidR="007C624E" w:rsidRPr="00954911">
        <w:rPr>
          <w:rFonts w:ascii="Times New Roman" w:hAnsi="Times New Roman" w:cs="Times New Roman"/>
        </w:rPr>
        <w:t>el artículo 37 de la ley 17801 expresa: “Caducarán</w:t>
      </w:r>
      <w:r w:rsidR="00471751" w:rsidRPr="00954911">
        <w:rPr>
          <w:rFonts w:ascii="Times New Roman" w:hAnsi="Times New Roman" w:cs="Times New Roman"/>
        </w:rPr>
        <w:t xml:space="preserve"> </w:t>
      </w:r>
      <w:r w:rsidR="007C624E" w:rsidRPr="00954911">
        <w:rPr>
          <w:rFonts w:ascii="Times New Roman" w:hAnsi="Times New Roman" w:cs="Times New Roman"/>
        </w:rPr>
        <w:t xml:space="preserve">de pleno derecho y sin necesidad de solicitud alguna  por el transcurso del tiempo que expresa este artículo o por el que en su caso establezcan las leyes especiales: inciso b) las anotaciones a las que se refieren el inciso b) del artículo 2, a los cinco años, salvo disposición en contrario de las leyes”. Que el artículo 2) inc. b) de la ley 17801, se refiere a los embargos, </w:t>
      </w:r>
      <w:r w:rsidR="007C624E" w:rsidRPr="00954911">
        <w:rPr>
          <w:rFonts w:ascii="Times New Roman" w:hAnsi="Times New Roman" w:cs="Times New Roman"/>
          <w:b/>
          <w:u w:val="single"/>
        </w:rPr>
        <w:t xml:space="preserve">inhibiciones </w:t>
      </w:r>
      <w:r w:rsidR="007C624E" w:rsidRPr="00954911">
        <w:rPr>
          <w:rFonts w:ascii="Times New Roman" w:hAnsi="Times New Roman" w:cs="Times New Roman"/>
        </w:rPr>
        <w:t>y demás medidas cautelares.</w:t>
      </w:r>
      <w:r w:rsidR="003370BD" w:rsidRPr="00954911">
        <w:rPr>
          <w:rFonts w:ascii="Times New Roman" w:hAnsi="Times New Roman" w:cs="Times New Roman"/>
        </w:rPr>
        <w:t xml:space="preserve"> (el subrayado me pertenece).</w:t>
      </w:r>
      <w:r w:rsidR="00471751" w:rsidRPr="00954911">
        <w:rPr>
          <w:rFonts w:ascii="Times New Roman" w:hAnsi="Times New Roman" w:cs="Times New Roman"/>
        </w:rPr>
        <w:t xml:space="preserve"> </w:t>
      </w:r>
      <w:r w:rsidR="003370BD" w:rsidRPr="00954911">
        <w:rPr>
          <w:rFonts w:ascii="Times New Roman" w:hAnsi="Times New Roman" w:cs="Times New Roman"/>
        </w:rPr>
        <w:t>El precepto general indica que la anotación de inhibición general de bienes caduca sin excepción, sin distinguir que el inhibido sea una sociedad comercial, o una persona física y que alguna de ellas esté concursada o quebrada. Así lo dispone la normativa vigente como también la doctrina y jurisprudencia que se han expedido al respecto.</w:t>
      </w:r>
    </w:p>
    <w:p w:rsidR="003659C5" w:rsidRPr="00954911" w:rsidRDefault="00471751" w:rsidP="006F43D6">
      <w:pPr>
        <w:pStyle w:val="Sangradetextonormal"/>
        <w:ind w:firstLine="1843"/>
        <w:rPr>
          <w:rFonts w:ascii="Times New Roman" w:hAnsi="Times New Roman" w:cs="Times New Roman"/>
        </w:rPr>
      </w:pPr>
      <w:r w:rsidRPr="00954911">
        <w:rPr>
          <w:rFonts w:ascii="Times New Roman" w:hAnsi="Times New Roman" w:cs="Times New Roman"/>
        </w:rPr>
        <w:t>Que v</w:t>
      </w:r>
      <w:r w:rsidR="003659C5" w:rsidRPr="00954911">
        <w:rPr>
          <w:rFonts w:ascii="Times New Roman" w:hAnsi="Times New Roman" w:cs="Times New Roman"/>
        </w:rPr>
        <w:t>ale destacar que, a la fecha no existe ley en contrario.</w:t>
      </w:r>
    </w:p>
    <w:p w:rsidR="003370BD" w:rsidRPr="00954911" w:rsidRDefault="00471751" w:rsidP="006F43D6">
      <w:pPr>
        <w:pStyle w:val="Sangradetextonormal"/>
        <w:ind w:firstLine="1843"/>
        <w:rPr>
          <w:rFonts w:ascii="Times New Roman" w:hAnsi="Times New Roman" w:cs="Times New Roman"/>
        </w:rPr>
      </w:pPr>
      <w:r w:rsidRPr="00954911">
        <w:rPr>
          <w:rFonts w:ascii="Times New Roman" w:hAnsi="Times New Roman" w:cs="Times New Roman"/>
        </w:rPr>
        <w:t>Que e</w:t>
      </w:r>
      <w:r w:rsidR="003370BD" w:rsidRPr="00954911">
        <w:rPr>
          <w:rFonts w:ascii="Times New Roman" w:hAnsi="Times New Roman" w:cs="Times New Roman"/>
        </w:rPr>
        <w:t>l Código Procesal Civil y Comercial del Chaco, en su artículo 207 segundo párrafo, afirma que las inhibiciones y embargos se extinguen a los cinco años de la fecha de su anotación, en el Registro de la Propiedad. A fin de evitar que opere esta caducidad el interesado puede solicitar al juez que ordene la reinscripción de la medida.</w:t>
      </w:r>
    </w:p>
    <w:p w:rsidR="003370BD" w:rsidRPr="00954911" w:rsidRDefault="00471751" w:rsidP="006F43D6">
      <w:pPr>
        <w:pStyle w:val="Sangradetextonormal"/>
        <w:ind w:firstLine="1843"/>
        <w:rPr>
          <w:rFonts w:ascii="Times New Roman" w:hAnsi="Times New Roman" w:cs="Times New Roman"/>
        </w:rPr>
      </w:pPr>
      <w:r w:rsidRPr="00954911">
        <w:rPr>
          <w:rFonts w:ascii="Times New Roman" w:hAnsi="Times New Roman" w:cs="Times New Roman"/>
        </w:rPr>
        <w:t>Que a</w:t>
      </w:r>
      <w:r w:rsidR="003370BD" w:rsidRPr="00954911">
        <w:rPr>
          <w:rFonts w:ascii="Times New Roman" w:hAnsi="Times New Roman" w:cs="Times New Roman"/>
        </w:rPr>
        <w:t>l respecto, Elena I. Higton y Beatriz A. Areán, tienen dicho: “respecto de la caducidad de la medida en estud</w:t>
      </w:r>
      <w:r w:rsidR="003659C5" w:rsidRPr="00954911">
        <w:rPr>
          <w:rFonts w:ascii="Times New Roman" w:hAnsi="Times New Roman" w:cs="Times New Roman"/>
        </w:rPr>
        <w:t>i</w:t>
      </w:r>
      <w:r w:rsidR="003370BD" w:rsidRPr="00954911">
        <w:rPr>
          <w:rFonts w:ascii="Times New Roman" w:hAnsi="Times New Roman" w:cs="Times New Roman"/>
        </w:rPr>
        <w:t xml:space="preserve">o se aplican las mismas normas utilizables en materia de embargo preventivo e inhibición general de bienes, recordando lo dispuesto en general en el artículo 207 del Código Procesal Civil y Comercial de la Nación,  </w:t>
      </w:r>
      <w:r w:rsidR="003659C5" w:rsidRPr="00954911">
        <w:rPr>
          <w:rFonts w:ascii="Times New Roman" w:hAnsi="Times New Roman" w:cs="Times New Roman"/>
        </w:rPr>
        <w:t>y en especial para las anotaciones registrales lo normado en el artículo 37 de la ley 17801, que dispone la caducidad de pleno derecho a partir de los cinco años de la toma de razón”(Elena I. Higton y Beatriz A. Areán, “Código Procesal Civil y Comercial de la Nación Comentado”. Tomo IV. Ed. Hammurabi. Buenos Aires 2005, página 204.</w:t>
      </w:r>
    </w:p>
    <w:p w:rsidR="003370BD"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Que a</w:t>
      </w:r>
      <w:r w:rsidR="003659C5" w:rsidRPr="00954911">
        <w:rPr>
          <w:rFonts w:ascii="Times New Roman" w:hAnsi="Times New Roman" w:cs="Times New Roman"/>
        </w:rPr>
        <w:t>utores como Elena I. Higton, Beatriz A. Areán, Claudio M</w:t>
      </w:r>
      <w:r w:rsidR="0053130B" w:rsidRPr="00954911">
        <w:rPr>
          <w:rFonts w:ascii="Times New Roman" w:hAnsi="Times New Roman" w:cs="Times New Roman"/>
        </w:rPr>
        <w:t>.</w:t>
      </w:r>
      <w:r w:rsidR="003659C5" w:rsidRPr="00954911">
        <w:rPr>
          <w:rFonts w:ascii="Times New Roman" w:hAnsi="Times New Roman" w:cs="Times New Roman"/>
        </w:rPr>
        <w:t xml:space="preserve"> Kiper, Carlos J</w:t>
      </w:r>
      <w:r w:rsidR="0053130B" w:rsidRPr="00954911">
        <w:rPr>
          <w:rFonts w:ascii="Times New Roman" w:hAnsi="Times New Roman" w:cs="Times New Roman"/>
        </w:rPr>
        <w:t>.</w:t>
      </w:r>
      <w:r w:rsidR="003659C5" w:rsidRPr="00954911">
        <w:rPr>
          <w:rFonts w:ascii="Times New Roman" w:hAnsi="Times New Roman" w:cs="Times New Roman"/>
        </w:rPr>
        <w:t xml:space="preserve"> Colombo, Jorge L. Kielmanovich</w:t>
      </w:r>
      <w:r w:rsidR="0053130B" w:rsidRPr="00954911">
        <w:rPr>
          <w:rFonts w:ascii="Times New Roman" w:hAnsi="Times New Roman" w:cs="Times New Roman"/>
        </w:rPr>
        <w:t>,</w:t>
      </w:r>
      <w:r w:rsidR="003659C5" w:rsidRPr="00954911">
        <w:rPr>
          <w:rFonts w:ascii="Times New Roman" w:hAnsi="Times New Roman" w:cs="Times New Roman"/>
        </w:rPr>
        <w:t xml:space="preserve"> y Guido Puig Cicchini, afirman que la inhibición general de bienes caduca transcurrido el plazo de los cinco años desde su anotación en el Registro correspondiente, y advierten sobre la importancia de formular la renovación periódica de la registración de la medida como modo de evitar su caducidad</w:t>
      </w:r>
      <w:r w:rsidR="0053130B" w:rsidRPr="00954911">
        <w:rPr>
          <w:rFonts w:ascii="Times New Roman" w:hAnsi="Times New Roman" w:cs="Times New Roman"/>
        </w:rPr>
        <w:t xml:space="preserve">, porque entienden que </w:t>
      </w:r>
      <w:r w:rsidR="00535519" w:rsidRPr="00954911">
        <w:rPr>
          <w:rFonts w:ascii="Times New Roman" w:hAnsi="Times New Roman" w:cs="Times New Roman"/>
        </w:rPr>
        <w:t>la misma mantiene su vigencia” al punto tal que subsistirá incluso superado el límite temporal de la ley registral, de modo que para reinscribirla no será necesario pedir una nueva cautelar y volver a acreditar los extremos exigibles al efecto”. Adolfo Rivas “Caducidad de la Anotación de litis y de la Inhibición General de Bienes”. LL 2010-F-44.</w:t>
      </w:r>
    </w:p>
    <w:p w:rsidR="003905B1"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lastRenderedPageBreak/>
        <w:t>Que e</w:t>
      </w:r>
      <w:r w:rsidR="003905B1" w:rsidRPr="00954911">
        <w:rPr>
          <w:rFonts w:ascii="Times New Roman" w:hAnsi="Times New Roman" w:cs="Times New Roman"/>
        </w:rPr>
        <w:t xml:space="preserve">n igual sentido se expresa Cornejo, “Al no fijar la ley de concursos un plazo especial para la duración de la inscripción de estas inhibiciones, la que se anote en el Registro de la Propiedad caducará a los cinco años, contados desde la toma de razón por aplicación del artículo 37 de la ley 17801, por lo cual se impone el deber legal del síndico de solicitar la reinscripción de la medida antes de su vencimiento, si subsiste el procedimiento”. Américo Atilio Cornejo “Derecho Registral”. Primera edición, editorial Astrea. Buenos Aires, 1994, página 171. </w:t>
      </w:r>
    </w:p>
    <w:p w:rsidR="00AC6892"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Que e</w:t>
      </w:r>
      <w:r w:rsidR="00535519" w:rsidRPr="00954911">
        <w:rPr>
          <w:rFonts w:ascii="Times New Roman" w:hAnsi="Times New Roman" w:cs="Times New Roman"/>
        </w:rPr>
        <w:t xml:space="preserve">l juez decidirá acerca del mantenimiento de la medida cautelar, </w:t>
      </w:r>
      <w:r w:rsidR="00AC6892" w:rsidRPr="00954911">
        <w:rPr>
          <w:rFonts w:ascii="Times New Roman" w:hAnsi="Times New Roman" w:cs="Times New Roman"/>
        </w:rPr>
        <w:t xml:space="preserve">es decir el período de duración de dicha medida cautelar, </w:t>
      </w:r>
      <w:r w:rsidR="00535519" w:rsidRPr="00954911">
        <w:rPr>
          <w:rFonts w:ascii="Times New Roman" w:hAnsi="Times New Roman" w:cs="Times New Roman"/>
        </w:rPr>
        <w:t>sin legislar lo relativo al plazo de caducidad del asiento registral</w:t>
      </w:r>
      <w:r w:rsidR="00AC6892" w:rsidRPr="00954911">
        <w:rPr>
          <w:rFonts w:ascii="Times New Roman" w:hAnsi="Times New Roman" w:cs="Times New Roman"/>
        </w:rPr>
        <w:t>. Distinguiendo entre la medida cautelar y la anotación de la medida.</w:t>
      </w:r>
    </w:p>
    <w:p w:rsidR="000946F7"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Que l</w:t>
      </w:r>
      <w:r w:rsidR="00AC6892" w:rsidRPr="00954911">
        <w:rPr>
          <w:rFonts w:ascii="Times New Roman" w:hAnsi="Times New Roman" w:cs="Times New Roman"/>
        </w:rPr>
        <w:t xml:space="preserve">a inhibición general de bienes a diferencia del embargo, no genera prioridades, de ahí que la ley procesal se desinterese de fijarle un lapso preciso de vigencia y por el contrario manifieste  la simple idea de duración acorde con el tiempo que pueda insumir la sustanciación del proceso </w:t>
      </w:r>
      <w:r w:rsidR="00055EB7" w:rsidRPr="00954911">
        <w:rPr>
          <w:rFonts w:ascii="Times New Roman" w:hAnsi="Times New Roman" w:cs="Times New Roman"/>
        </w:rPr>
        <w:t>falencial u otro, pero ello no permite concluir que la inhibición general de bienes del concursado o del quebrado o de quien estuviera inhibido en otro proceso judicial, no caduque, la doctrina citada ha sido conteste al respecto.</w:t>
      </w:r>
    </w:p>
    <w:p w:rsidR="00A54DEC"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 xml:space="preserve">Que </w:t>
      </w:r>
      <w:r w:rsidR="00A54DEC" w:rsidRPr="00954911">
        <w:rPr>
          <w:rFonts w:ascii="Times New Roman" w:hAnsi="Times New Roman" w:cs="Times New Roman"/>
        </w:rPr>
        <w:t>“La regla emergente del art. 37 inc. b) de la ley 17801 respecto a la caducidad de la anotación en el término de cinco años a partir de la toma de razón, no puede ser desvirtuada por lo establecido en el artículo 229 del CPCCN, por cuanto la citada norma registral reviste la cualidad de especial y atañe al derecho sustancial y por lo tanto, no puede ser cercenada o desvirtuada por el ritual”. Marcelo López Mesa “Código Procesal Civil y Comercial de la Nación, Comentado y anotado con jurisprudencia. Tomo II, Ed. La Ley Bs. As. 2012, página 877.</w:t>
      </w:r>
    </w:p>
    <w:p w:rsidR="009C1E19"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 xml:space="preserve">Que </w:t>
      </w:r>
      <w:r w:rsidR="00705991" w:rsidRPr="00954911">
        <w:rPr>
          <w:rFonts w:ascii="Times New Roman" w:hAnsi="Times New Roman" w:cs="Times New Roman"/>
        </w:rPr>
        <w:t>“En lo atinente a su caducidad ésta ocurre de pleno derecho a los cinco años de su anotación, (conf. art. 207 a cuyo comentario remitimos), salvo que el interesado haya solicitado su reinscripción antes del vencimiento del plazo”. Marcelo López Mesa “Código Procesal Civil y Comercial de la Provincia de Buenos Aires, Comentado y anotado con jurisprudencia. Tomo III, Ed</w:t>
      </w:r>
      <w:r w:rsidR="009C1E19" w:rsidRPr="00954911">
        <w:rPr>
          <w:rFonts w:ascii="Times New Roman" w:hAnsi="Times New Roman" w:cs="Times New Roman"/>
        </w:rPr>
        <w:t>.</w:t>
      </w:r>
      <w:r w:rsidR="00705991" w:rsidRPr="00954911">
        <w:rPr>
          <w:rFonts w:ascii="Times New Roman" w:hAnsi="Times New Roman" w:cs="Times New Roman"/>
        </w:rPr>
        <w:t xml:space="preserve"> La Ley Bs. As. 2014, página 1167.</w:t>
      </w:r>
      <w:r w:rsidR="009C1E19" w:rsidRPr="00954911">
        <w:rPr>
          <w:rFonts w:ascii="Times New Roman" w:hAnsi="Times New Roman" w:cs="Times New Roman"/>
        </w:rPr>
        <w:t xml:space="preserve"> En igual sentido, “Caducidad de las medidas cautelares pedidas por el concurso”. José Luis García Caffaro. LL 1985-A-436. LL Online AR/DOR 14755/2001.</w:t>
      </w:r>
    </w:p>
    <w:p w:rsidR="008B604E"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 xml:space="preserve">Que </w:t>
      </w:r>
      <w:r w:rsidR="008B604E" w:rsidRPr="00954911">
        <w:rPr>
          <w:rFonts w:ascii="Times New Roman" w:hAnsi="Times New Roman" w:cs="Times New Roman"/>
        </w:rPr>
        <w:t xml:space="preserve">“…. Las medidas cautelares </w:t>
      </w:r>
      <w:r w:rsidR="00E23A8D" w:rsidRPr="00954911">
        <w:rPr>
          <w:rFonts w:ascii="Times New Roman" w:hAnsi="Times New Roman" w:cs="Times New Roman"/>
        </w:rPr>
        <w:t>importan una restricción  a la libre disposición de bienes del deudor; de allí su susceptibilidad para extinguirse con el mero transcurso del tiempo, cuando quien la hubiera obtenido no hubiera instado su reinscripción antes de vencer el plazo de su vigencia. De este modo tratándose de medidas ordenadas y trabadas con posterioridad al inicio del proceso</w:t>
      </w:r>
      <w:r w:rsidR="003A26DF" w:rsidRPr="00954911">
        <w:rPr>
          <w:rFonts w:ascii="Times New Roman" w:hAnsi="Times New Roman" w:cs="Times New Roman"/>
        </w:rPr>
        <w:t>, el término quinquenal del art. 207 aludido opera en forma general respecto de inhibiciones y embargos, quedando marginada su aplicación únicamente frente a normas específicas que establezcan una solución diferente”. Cam</w:t>
      </w:r>
      <w:r w:rsidR="00637D6E" w:rsidRPr="00954911">
        <w:rPr>
          <w:rFonts w:ascii="Times New Roman" w:hAnsi="Times New Roman" w:cs="Times New Roman"/>
        </w:rPr>
        <w:t>.</w:t>
      </w:r>
      <w:r w:rsidR="003A26DF" w:rsidRPr="00954911">
        <w:rPr>
          <w:rFonts w:ascii="Times New Roman" w:hAnsi="Times New Roman" w:cs="Times New Roman"/>
        </w:rPr>
        <w:t xml:space="preserve"> Civ</w:t>
      </w:r>
      <w:r w:rsidR="00637D6E" w:rsidRPr="00954911">
        <w:rPr>
          <w:rFonts w:ascii="Times New Roman" w:hAnsi="Times New Roman" w:cs="Times New Roman"/>
        </w:rPr>
        <w:t>.</w:t>
      </w:r>
      <w:r w:rsidR="003A26DF" w:rsidRPr="00954911">
        <w:rPr>
          <w:rFonts w:ascii="Times New Roman" w:hAnsi="Times New Roman" w:cs="Times New Roman"/>
        </w:rPr>
        <w:t xml:space="preserve"> y Com</w:t>
      </w:r>
      <w:r w:rsidR="00637D6E" w:rsidRPr="00954911">
        <w:rPr>
          <w:rFonts w:ascii="Times New Roman" w:hAnsi="Times New Roman" w:cs="Times New Roman"/>
        </w:rPr>
        <w:t>.</w:t>
      </w:r>
      <w:r w:rsidR="003A26DF" w:rsidRPr="00954911">
        <w:rPr>
          <w:rFonts w:ascii="Times New Roman" w:hAnsi="Times New Roman" w:cs="Times New Roman"/>
        </w:rPr>
        <w:t xml:space="preserve"> San Martín Sala 2 causa 44.114, RSI 316-1 del 26/11/2001 sumario de Juba B2002081.</w:t>
      </w:r>
      <w:r w:rsidR="00E23A8D" w:rsidRPr="00954911">
        <w:rPr>
          <w:rFonts w:ascii="Times New Roman" w:hAnsi="Times New Roman" w:cs="Times New Roman"/>
        </w:rPr>
        <w:t xml:space="preserve"> </w:t>
      </w:r>
    </w:p>
    <w:p w:rsidR="008B604E"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 xml:space="preserve">Que </w:t>
      </w:r>
      <w:r w:rsidR="00741F22" w:rsidRPr="00954911">
        <w:rPr>
          <w:rFonts w:ascii="Times New Roman" w:hAnsi="Times New Roman" w:cs="Times New Roman"/>
        </w:rPr>
        <w:t>“</w:t>
      </w:r>
      <w:r w:rsidR="00703191" w:rsidRPr="00954911">
        <w:rPr>
          <w:rFonts w:ascii="Times New Roman" w:hAnsi="Times New Roman" w:cs="Times New Roman"/>
        </w:rPr>
        <w:t>El sistema de caducidad responde a la necesidad de impedir la subsistencia de medidas cautelares cuando el transcurso del tiempo indica una conducta desinteresada del deudor, que se presume si no procede a reinscribirlas en el plazo legal fijado</w:t>
      </w:r>
      <w:r w:rsidR="00741F22" w:rsidRPr="00954911">
        <w:rPr>
          <w:rFonts w:ascii="Times New Roman" w:hAnsi="Times New Roman" w:cs="Times New Roman"/>
        </w:rPr>
        <w:t>”</w:t>
      </w:r>
      <w:r w:rsidR="00703191" w:rsidRPr="00954911">
        <w:rPr>
          <w:rFonts w:ascii="Times New Roman" w:hAnsi="Times New Roman" w:cs="Times New Roman"/>
        </w:rPr>
        <w:t>.</w:t>
      </w:r>
      <w:r w:rsidR="0017400C" w:rsidRPr="00954911">
        <w:rPr>
          <w:rFonts w:ascii="Times New Roman" w:hAnsi="Times New Roman" w:cs="Times New Roman"/>
        </w:rPr>
        <w:t xml:space="preserve"> Corte de Justicia de San Juan sala I, 22/4/2008. Mattar Eduardo c/Yannello S.A. s/Ejecutivo s/Inconstitucionalidad. IJ XLIII-128.</w:t>
      </w:r>
    </w:p>
    <w:p w:rsidR="00C9647B"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bCs/>
        </w:rPr>
        <w:t xml:space="preserve">Que </w:t>
      </w:r>
      <w:r w:rsidR="00711849" w:rsidRPr="00954911">
        <w:rPr>
          <w:rFonts w:ascii="Times New Roman" w:hAnsi="Times New Roman" w:cs="Times New Roman"/>
          <w:bCs/>
        </w:rPr>
        <w:t>“L</w:t>
      </w:r>
      <w:r w:rsidR="00D1508B" w:rsidRPr="00954911">
        <w:rPr>
          <w:rFonts w:ascii="Times New Roman" w:hAnsi="Times New Roman" w:cs="Times New Roman"/>
          <w:bCs/>
        </w:rPr>
        <w:t>a denominada caducidad de las anotaciones e</w:t>
      </w:r>
      <w:r w:rsidRPr="00954911">
        <w:rPr>
          <w:rFonts w:ascii="Times New Roman" w:hAnsi="Times New Roman" w:cs="Times New Roman"/>
          <w:bCs/>
        </w:rPr>
        <w:t xml:space="preserve"> </w:t>
      </w:r>
      <w:r w:rsidR="00D1508B" w:rsidRPr="00954911">
        <w:rPr>
          <w:rFonts w:ascii="Times New Roman" w:hAnsi="Times New Roman" w:cs="Times New Roman"/>
          <w:bCs/>
        </w:rPr>
        <w:t>inscripciones efectuadas en el Registro de la Propiedad Inmueble, opera “ipso jure”, sin trascender a la existencia del derecho inscripto, y su efecto es automático, en tanto no requiere  solicitud por parte de los interesados, ni el consentimiento del titular registral, ni el mandato del juez.</w:t>
      </w:r>
      <w:r w:rsidR="00235830" w:rsidRPr="00954911">
        <w:rPr>
          <w:rFonts w:ascii="Times New Roman" w:hAnsi="Times New Roman" w:cs="Times New Roman"/>
        </w:rPr>
        <w:t xml:space="preserve"> CNC. Sala K. 9/11/2007. “Tedesco Lucía c/Stopiello de Sarno Beatriz s/Ejecución </w:t>
      </w:r>
      <w:r w:rsidR="00235830" w:rsidRPr="00954911">
        <w:rPr>
          <w:rFonts w:ascii="Times New Roman" w:hAnsi="Times New Roman" w:cs="Times New Roman"/>
        </w:rPr>
        <w:lastRenderedPageBreak/>
        <w:t>hipotecaria”. DJ 25/6/2008, con nota de Nicolás Borda. DJ 2008-II-542, con nota de Nicolás Borda. LL Online AR/JUR/9396/2007.</w:t>
      </w:r>
    </w:p>
    <w:p w:rsidR="003370BD" w:rsidRPr="00954911" w:rsidRDefault="00954911" w:rsidP="006F43D6">
      <w:pPr>
        <w:pStyle w:val="Sangradetextonormal"/>
        <w:ind w:firstLine="1843"/>
        <w:rPr>
          <w:rFonts w:ascii="Times New Roman" w:hAnsi="Times New Roman" w:cs="Times New Roman"/>
        </w:rPr>
      </w:pPr>
      <w:r w:rsidRPr="00954911">
        <w:rPr>
          <w:rFonts w:ascii="Times New Roman" w:hAnsi="Times New Roman" w:cs="Times New Roman"/>
        </w:rPr>
        <w:t xml:space="preserve">Que </w:t>
      </w:r>
      <w:r w:rsidR="00BD4905" w:rsidRPr="00954911">
        <w:rPr>
          <w:rFonts w:ascii="Times New Roman" w:hAnsi="Times New Roman" w:cs="Times New Roman"/>
        </w:rPr>
        <w:t>“</w:t>
      </w:r>
      <w:r w:rsidR="00961519" w:rsidRPr="00954911">
        <w:rPr>
          <w:rFonts w:ascii="Times New Roman" w:hAnsi="Times New Roman" w:cs="Times New Roman"/>
          <w:bCs/>
        </w:rPr>
        <w:t>La regla emergente del art. 37, inc. b) de la ley 17801 respecto a la caducidad de la anotación en el término de cinco años a contar desde la toma de razón, no puede ser desvirtuada por lo establecido en el art. 229 CPCCN, por cuanto la citada norma registral reviste la cualidad de especial y daña al derecho sustancial, y por lo tanto no puede ser cercenada o desvirtuada por el ritual.</w:t>
      </w:r>
      <w:r w:rsidR="00BD4905" w:rsidRPr="00954911">
        <w:rPr>
          <w:rFonts w:ascii="Times New Roman" w:hAnsi="Times New Roman" w:cs="Times New Roman"/>
        </w:rPr>
        <w:t xml:space="preserve"> CNCiv. Sala G 23/8/2010. “Migdal Hilda c/Registro de la Propiedad Inmueble en Expte 193/10”. ED Digital 58801. RN 966-211. </w:t>
      </w:r>
      <w:r w:rsidR="003370BD" w:rsidRPr="00954911">
        <w:rPr>
          <w:rFonts w:ascii="Times New Roman" w:hAnsi="Times New Roman" w:cs="Times New Roman"/>
        </w:rPr>
        <w:tab/>
      </w:r>
      <w:r w:rsidR="003370BD" w:rsidRPr="00954911">
        <w:rPr>
          <w:rFonts w:ascii="Times New Roman" w:hAnsi="Times New Roman" w:cs="Times New Roman"/>
        </w:rPr>
        <w:tab/>
      </w:r>
      <w:r w:rsidR="003370BD" w:rsidRPr="00954911">
        <w:rPr>
          <w:rFonts w:ascii="Times New Roman" w:hAnsi="Times New Roman" w:cs="Times New Roman"/>
        </w:rPr>
        <w:tab/>
      </w:r>
    </w:p>
    <w:p w:rsidR="00821940" w:rsidRPr="00954911" w:rsidRDefault="00954911" w:rsidP="006F43D6">
      <w:pPr>
        <w:tabs>
          <w:tab w:val="left" w:pos="1210"/>
          <w:tab w:val="left" w:pos="5295"/>
        </w:tabs>
        <w:spacing w:after="0" w:line="240" w:lineRule="auto"/>
        <w:ind w:firstLine="1843"/>
        <w:jc w:val="both"/>
        <w:rPr>
          <w:rFonts w:ascii="Times New Roman" w:hAnsi="Times New Roman" w:cs="Times New Roman"/>
          <w:sz w:val="24"/>
          <w:szCs w:val="24"/>
          <w:lang w:val="es-MX"/>
        </w:rPr>
      </w:pPr>
      <w:r w:rsidRPr="00954911">
        <w:rPr>
          <w:rFonts w:ascii="Times New Roman" w:hAnsi="Times New Roman" w:cs="Times New Roman"/>
          <w:sz w:val="24"/>
          <w:szCs w:val="24"/>
        </w:rPr>
        <w:t>Que p</w:t>
      </w:r>
      <w:r w:rsidR="00821940" w:rsidRPr="00954911">
        <w:rPr>
          <w:rFonts w:ascii="Times New Roman" w:hAnsi="Times New Roman" w:cs="Times New Roman"/>
          <w:sz w:val="24"/>
          <w:szCs w:val="24"/>
          <w:lang w:val="es-MX"/>
        </w:rPr>
        <w:t>or ello y de conformidad con las facultades emergentes del artículo 36 inciso a), c) y g) del Dto. 306/69, y su conc. ley registral nacional 17.801;</w:t>
      </w:r>
    </w:p>
    <w:p w:rsidR="00821940" w:rsidRPr="00954911" w:rsidRDefault="00821940" w:rsidP="006F43D6">
      <w:pPr>
        <w:tabs>
          <w:tab w:val="left" w:pos="5295"/>
        </w:tabs>
        <w:spacing w:after="0" w:line="240" w:lineRule="auto"/>
        <w:jc w:val="center"/>
        <w:rPr>
          <w:rFonts w:ascii="Times New Roman" w:hAnsi="Times New Roman" w:cs="Times New Roman"/>
          <w:b/>
          <w:sz w:val="24"/>
          <w:szCs w:val="24"/>
          <w:lang w:val="es-MX"/>
        </w:rPr>
      </w:pPr>
      <w:r w:rsidRPr="00954911">
        <w:rPr>
          <w:rFonts w:ascii="Times New Roman" w:hAnsi="Times New Roman" w:cs="Times New Roman"/>
          <w:b/>
          <w:sz w:val="24"/>
          <w:szCs w:val="24"/>
          <w:lang w:val="es-MX"/>
        </w:rPr>
        <w:t xml:space="preserve">LA DIRECTORA DEL REGISTRO DE LA PROPIEDAD INMUEBLE DEL </w:t>
      </w:r>
      <w:r w:rsidR="006F43D6">
        <w:rPr>
          <w:rFonts w:ascii="Times New Roman" w:hAnsi="Times New Roman" w:cs="Times New Roman"/>
          <w:b/>
          <w:sz w:val="24"/>
          <w:szCs w:val="24"/>
          <w:lang w:val="es-MX"/>
        </w:rPr>
        <w:t>C</w:t>
      </w:r>
      <w:r w:rsidRPr="00954911">
        <w:rPr>
          <w:rFonts w:ascii="Times New Roman" w:hAnsi="Times New Roman" w:cs="Times New Roman"/>
          <w:b/>
          <w:sz w:val="24"/>
          <w:szCs w:val="24"/>
          <w:lang w:val="es-MX"/>
        </w:rPr>
        <w:t>HACO</w:t>
      </w:r>
    </w:p>
    <w:p w:rsidR="00821940" w:rsidRPr="00954911" w:rsidRDefault="00821940" w:rsidP="006F43D6">
      <w:pPr>
        <w:tabs>
          <w:tab w:val="left" w:pos="5295"/>
        </w:tabs>
        <w:spacing w:after="0" w:line="240" w:lineRule="auto"/>
        <w:jc w:val="center"/>
        <w:rPr>
          <w:rFonts w:ascii="Times New Roman" w:hAnsi="Times New Roman" w:cs="Times New Roman"/>
          <w:b/>
          <w:sz w:val="24"/>
          <w:szCs w:val="24"/>
          <w:lang w:val="es-MX"/>
        </w:rPr>
      </w:pPr>
      <w:r w:rsidRPr="00954911">
        <w:rPr>
          <w:rFonts w:ascii="Times New Roman" w:hAnsi="Times New Roman" w:cs="Times New Roman"/>
          <w:b/>
          <w:sz w:val="24"/>
          <w:szCs w:val="24"/>
          <w:lang w:val="es-MX"/>
        </w:rPr>
        <w:t>DISPONE:</w:t>
      </w:r>
    </w:p>
    <w:p w:rsidR="00821940" w:rsidRPr="00954911" w:rsidRDefault="00821940" w:rsidP="006F43D6">
      <w:pPr>
        <w:tabs>
          <w:tab w:val="left" w:pos="5295"/>
        </w:tabs>
        <w:spacing w:after="0" w:line="240" w:lineRule="auto"/>
        <w:ind w:left="720"/>
        <w:jc w:val="both"/>
        <w:rPr>
          <w:rFonts w:ascii="Times New Roman" w:hAnsi="Times New Roman" w:cs="Times New Roman"/>
          <w:color w:val="000000"/>
          <w:sz w:val="24"/>
          <w:szCs w:val="24"/>
          <w:lang w:val="es-MX"/>
        </w:rPr>
      </w:pPr>
      <w:r w:rsidRPr="00954911">
        <w:rPr>
          <w:rFonts w:ascii="Times New Roman" w:hAnsi="Times New Roman" w:cs="Times New Roman"/>
          <w:color w:val="000000"/>
          <w:sz w:val="24"/>
          <w:szCs w:val="24"/>
          <w:lang w:val="es-MX"/>
        </w:rPr>
        <w:t>Art. 1: REGISTRAR l</w:t>
      </w:r>
      <w:r w:rsidR="002B15B6" w:rsidRPr="00954911">
        <w:rPr>
          <w:rFonts w:ascii="Times New Roman" w:hAnsi="Times New Roman" w:cs="Times New Roman"/>
          <w:color w:val="000000"/>
          <w:sz w:val="24"/>
          <w:szCs w:val="24"/>
          <w:lang w:val="es-MX"/>
        </w:rPr>
        <w:t>as inhibiciones generales de bienes de los fallidos decretadas por los jueces en procesos concursales o quiebras haciendo saber al juez que el plazo de vigencia del asiento, es el establecido en el art. 37 inc. b) de la ley 17801.</w:t>
      </w:r>
    </w:p>
    <w:p w:rsidR="00821940" w:rsidRPr="00954911" w:rsidRDefault="002B15B6" w:rsidP="006F43D6">
      <w:pPr>
        <w:tabs>
          <w:tab w:val="left" w:pos="5295"/>
        </w:tabs>
        <w:spacing w:after="0" w:line="240" w:lineRule="auto"/>
        <w:ind w:left="720"/>
        <w:jc w:val="both"/>
        <w:rPr>
          <w:rFonts w:ascii="Times New Roman" w:hAnsi="Times New Roman" w:cs="Times New Roman"/>
          <w:color w:val="000000"/>
          <w:sz w:val="24"/>
          <w:szCs w:val="24"/>
          <w:lang w:val="es-MX"/>
        </w:rPr>
      </w:pPr>
      <w:r w:rsidRPr="00954911">
        <w:rPr>
          <w:rFonts w:ascii="Times New Roman" w:hAnsi="Times New Roman" w:cs="Times New Roman"/>
          <w:color w:val="000000"/>
          <w:sz w:val="24"/>
          <w:szCs w:val="24"/>
          <w:lang w:val="es-MX"/>
        </w:rPr>
        <w:t>Art 2:</w:t>
      </w:r>
      <w:r w:rsidR="00821940" w:rsidRPr="00954911">
        <w:rPr>
          <w:rFonts w:ascii="Times New Roman" w:hAnsi="Times New Roman" w:cs="Times New Roman"/>
          <w:color w:val="000000"/>
          <w:sz w:val="24"/>
          <w:szCs w:val="24"/>
          <w:lang w:val="es-MX"/>
        </w:rPr>
        <w:t xml:space="preserve"> NOTIFIQUESE, a los agentes del organismo y  publíquese en el Boletín Oficial.</w:t>
      </w:r>
    </w:p>
    <w:p w:rsidR="00821940" w:rsidRPr="00954911" w:rsidRDefault="002B15B6" w:rsidP="006F43D6">
      <w:pPr>
        <w:tabs>
          <w:tab w:val="left" w:pos="5295"/>
        </w:tabs>
        <w:spacing w:after="0" w:line="240" w:lineRule="auto"/>
        <w:ind w:left="720"/>
        <w:jc w:val="both"/>
        <w:rPr>
          <w:rFonts w:ascii="Times New Roman" w:hAnsi="Times New Roman" w:cs="Times New Roman"/>
          <w:color w:val="000000"/>
          <w:sz w:val="24"/>
          <w:szCs w:val="24"/>
          <w:lang w:val="es-MX"/>
        </w:rPr>
      </w:pPr>
      <w:r w:rsidRPr="00954911">
        <w:rPr>
          <w:rFonts w:ascii="Times New Roman" w:hAnsi="Times New Roman" w:cs="Times New Roman"/>
          <w:color w:val="000000"/>
          <w:sz w:val="24"/>
          <w:szCs w:val="24"/>
          <w:lang w:val="es-MX"/>
        </w:rPr>
        <w:t>Art. 3</w:t>
      </w:r>
      <w:r w:rsidR="00821940" w:rsidRPr="00954911">
        <w:rPr>
          <w:rFonts w:ascii="Times New Roman" w:hAnsi="Times New Roman" w:cs="Times New Roman"/>
          <w:color w:val="000000"/>
          <w:sz w:val="24"/>
          <w:szCs w:val="24"/>
          <w:lang w:val="es-MX"/>
        </w:rPr>
        <w:t>: CUMPLIDO, insértese en el Protocolo de Disposiciones Técnico Registrales.</w:t>
      </w:r>
    </w:p>
    <w:p w:rsidR="00821940" w:rsidRPr="00954911" w:rsidRDefault="00821940" w:rsidP="00821940">
      <w:pPr>
        <w:tabs>
          <w:tab w:val="left" w:pos="5295"/>
        </w:tabs>
        <w:spacing w:line="240" w:lineRule="auto"/>
        <w:ind w:left="720"/>
        <w:jc w:val="both"/>
        <w:rPr>
          <w:rFonts w:ascii="Times New Roman" w:hAnsi="Times New Roman" w:cs="Times New Roman"/>
          <w:color w:val="000000"/>
          <w:sz w:val="24"/>
          <w:szCs w:val="24"/>
          <w:u w:val="single"/>
          <w:lang w:val="es-MX"/>
        </w:rPr>
      </w:pPr>
    </w:p>
    <w:p w:rsidR="00821940" w:rsidRPr="00954911" w:rsidRDefault="00821940" w:rsidP="00821940">
      <w:pPr>
        <w:tabs>
          <w:tab w:val="left" w:pos="5295"/>
        </w:tabs>
        <w:spacing w:line="240" w:lineRule="auto"/>
        <w:ind w:left="720"/>
        <w:jc w:val="both"/>
        <w:rPr>
          <w:rFonts w:ascii="Times New Roman" w:hAnsi="Times New Roman" w:cs="Times New Roman"/>
          <w:b/>
          <w:color w:val="000000"/>
          <w:sz w:val="24"/>
          <w:szCs w:val="24"/>
          <w:u w:val="single"/>
          <w:lang w:val="es-MX"/>
        </w:rPr>
      </w:pPr>
      <w:r w:rsidRPr="00954911">
        <w:rPr>
          <w:rFonts w:ascii="Times New Roman" w:hAnsi="Times New Roman" w:cs="Times New Roman"/>
          <w:b/>
          <w:color w:val="000000"/>
          <w:sz w:val="24"/>
          <w:szCs w:val="24"/>
          <w:u w:val="single"/>
          <w:lang w:val="es-MX"/>
        </w:rPr>
        <w:t>DISPOSICION TECNICO REGISTRAL</w:t>
      </w:r>
      <w:r w:rsidR="00954911" w:rsidRPr="00954911">
        <w:rPr>
          <w:rFonts w:ascii="Times New Roman" w:hAnsi="Times New Roman" w:cs="Times New Roman"/>
          <w:b/>
          <w:color w:val="000000"/>
          <w:sz w:val="24"/>
          <w:szCs w:val="24"/>
          <w:u w:val="single"/>
          <w:lang w:val="es-MX"/>
        </w:rPr>
        <w:t xml:space="preserve"> Nº</w:t>
      </w:r>
      <w:r w:rsidR="00471751" w:rsidRPr="00954911">
        <w:rPr>
          <w:rFonts w:ascii="Times New Roman" w:hAnsi="Times New Roman" w:cs="Times New Roman"/>
          <w:b/>
          <w:color w:val="000000"/>
          <w:sz w:val="24"/>
          <w:szCs w:val="24"/>
          <w:u w:val="single"/>
          <w:lang w:val="es-MX"/>
        </w:rPr>
        <w:t>41</w:t>
      </w:r>
      <w:r w:rsidRPr="00954911">
        <w:rPr>
          <w:rFonts w:ascii="Times New Roman" w:hAnsi="Times New Roman" w:cs="Times New Roman"/>
          <w:b/>
          <w:color w:val="000000"/>
          <w:sz w:val="24"/>
          <w:szCs w:val="24"/>
          <w:u w:val="single"/>
          <w:lang w:val="es-MX"/>
        </w:rPr>
        <w:t xml:space="preserve">/2015. </w:t>
      </w:r>
    </w:p>
    <w:p w:rsidR="00B11313" w:rsidRDefault="00B11313">
      <w:pPr>
        <w:rPr>
          <w:rFonts w:ascii="Times New Roman" w:hAnsi="Times New Roman" w:cs="Times New Roman"/>
          <w:sz w:val="24"/>
          <w:szCs w:val="24"/>
        </w:rPr>
      </w:pPr>
    </w:p>
    <w:p w:rsidR="00B11313" w:rsidRDefault="00B11313" w:rsidP="00B11313">
      <w:pPr>
        <w:spacing w:after="0"/>
        <w:ind w:left="3828"/>
        <w:jc w:val="center"/>
        <w:rPr>
          <w:rFonts w:ascii="Times New Roman" w:hAnsi="Times New Roman" w:cs="Times New Roman"/>
        </w:rPr>
      </w:pPr>
      <w:r>
        <w:rPr>
          <w:rFonts w:ascii="Times New Roman" w:hAnsi="Times New Roman" w:cs="Times New Roman"/>
        </w:rPr>
        <w:t>LILIA NOEMI DIEZ</w:t>
      </w:r>
    </w:p>
    <w:p w:rsidR="00B11313" w:rsidRDefault="00B11313" w:rsidP="00B11313">
      <w:pPr>
        <w:spacing w:after="0"/>
        <w:ind w:left="3828"/>
        <w:jc w:val="center"/>
        <w:rPr>
          <w:rFonts w:ascii="Times New Roman" w:hAnsi="Times New Roman" w:cs="Times New Roman"/>
        </w:rPr>
      </w:pPr>
      <w:r>
        <w:rPr>
          <w:rFonts w:ascii="Times New Roman" w:hAnsi="Times New Roman" w:cs="Times New Roman"/>
        </w:rPr>
        <w:t>ABOGADA-ESCRIBANA</w:t>
      </w:r>
    </w:p>
    <w:p w:rsidR="00B11313" w:rsidRDefault="00B11313" w:rsidP="00B11313">
      <w:pPr>
        <w:spacing w:after="0"/>
        <w:ind w:left="3828"/>
        <w:jc w:val="center"/>
        <w:rPr>
          <w:rFonts w:ascii="Times New Roman" w:hAnsi="Times New Roman" w:cs="Times New Roman"/>
        </w:rPr>
      </w:pPr>
      <w:r>
        <w:rPr>
          <w:rFonts w:ascii="Times New Roman" w:hAnsi="Times New Roman" w:cs="Times New Roman"/>
        </w:rPr>
        <w:t>DIRECTORA</w:t>
      </w:r>
    </w:p>
    <w:p w:rsidR="00B11313" w:rsidRDefault="00B11313" w:rsidP="00B11313">
      <w:pPr>
        <w:spacing w:after="0"/>
        <w:ind w:left="3828"/>
        <w:jc w:val="center"/>
        <w:rPr>
          <w:rFonts w:ascii="Times New Roman" w:hAnsi="Times New Roman" w:cs="Times New Roman"/>
        </w:rPr>
      </w:pPr>
      <w:r>
        <w:rPr>
          <w:rFonts w:ascii="Times New Roman" w:hAnsi="Times New Roman" w:cs="Times New Roman"/>
        </w:rPr>
        <w:t>REGISTRO DE LA PROPIEDAD INMUEBLE</w:t>
      </w:r>
    </w:p>
    <w:p w:rsidR="00B11313" w:rsidRDefault="00B11313" w:rsidP="00B11313">
      <w:pPr>
        <w:spacing w:after="0" w:line="240" w:lineRule="auto"/>
        <w:jc w:val="center"/>
        <w:rPr>
          <w:rFonts w:ascii="Times New Roman" w:hAnsi="Times New Roman" w:cs="Times New Roman"/>
        </w:rPr>
      </w:pPr>
    </w:p>
    <w:p w:rsidR="00B11313" w:rsidRPr="00954911" w:rsidRDefault="00B11313">
      <w:pPr>
        <w:rPr>
          <w:rFonts w:ascii="Times New Roman" w:hAnsi="Times New Roman" w:cs="Times New Roman"/>
          <w:sz w:val="24"/>
          <w:szCs w:val="24"/>
        </w:rPr>
      </w:pPr>
    </w:p>
    <w:sectPr w:rsidR="00B11313" w:rsidRPr="00954911" w:rsidSect="00D7117E">
      <w:pgSz w:w="11907" w:h="16839"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F2" w:rsidRDefault="000E52F2" w:rsidP="00703191">
      <w:pPr>
        <w:spacing w:after="0" w:line="240" w:lineRule="auto"/>
      </w:pPr>
      <w:r>
        <w:separator/>
      </w:r>
    </w:p>
  </w:endnote>
  <w:endnote w:type="continuationSeparator" w:id="1">
    <w:p w:rsidR="000E52F2" w:rsidRDefault="000E52F2" w:rsidP="00703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F2" w:rsidRDefault="000E52F2" w:rsidP="00703191">
      <w:pPr>
        <w:spacing w:after="0" w:line="240" w:lineRule="auto"/>
      </w:pPr>
      <w:r>
        <w:separator/>
      </w:r>
    </w:p>
  </w:footnote>
  <w:footnote w:type="continuationSeparator" w:id="1">
    <w:p w:rsidR="000E52F2" w:rsidRDefault="000E52F2" w:rsidP="00703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15B8E"/>
    <w:multiLevelType w:val="hybridMultilevel"/>
    <w:tmpl w:val="EB98A338"/>
    <w:lvl w:ilvl="0" w:tplc="276A8782">
      <w:start w:val="1"/>
      <w:numFmt w:val="upperLetter"/>
      <w:lvlText w:val="%1)"/>
      <w:lvlJc w:val="left"/>
      <w:pPr>
        <w:ind w:left="2535" w:hanging="405"/>
      </w:pPr>
      <w:rPr>
        <w:rFonts w:ascii="Bookman Old Style" w:hAnsi="Bookman Old Style"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21940"/>
    <w:rsid w:val="000059CE"/>
    <w:rsid w:val="00007096"/>
    <w:rsid w:val="00055EB7"/>
    <w:rsid w:val="000946F7"/>
    <w:rsid w:val="000E52F2"/>
    <w:rsid w:val="0017400C"/>
    <w:rsid w:val="00235830"/>
    <w:rsid w:val="00237765"/>
    <w:rsid w:val="002B15B6"/>
    <w:rsid w:val="003370BD"/>
    <w:rsid w:val="003659C5"/>
    <w:rsid w:val="003905B1"/>
    <w:rsid w:val="003A26DF"/>
    <w:rsid w:val="00436DAD"/>
    <w:rsid w:val="00471751"/>
    <w:rsid w:val="004979C7"/>
    <w:rsid w:val="004D6D7B"/>
    <w:rsid w:val="0053130B"/>
    <w:rsid w:val="00535519"/>
    <w:rsid w:val="006017A0"/>
    <w:rsid w:val="00627106"/>
    <w:rsid w:val="00637D6E"/>
    <w:rsid w:val="006A2B09"/>
    <w:rsid w:val="006C6E5E"/>
    <w:rsid w:val="006F43D6"/>
    <w:rsid w:val="006F7376"/>
    <w:rsid w:val="00703191"/>
    <w:rsid w:val="00705991"/>
    <w:rsid w:val="00711849"/>
    <w:rsid w:val="00741F22"/>
    <w:rsid w:val="00752660"/>
    <w:rsid w:val="007564EE"/>
    <w:rsid w:val="007C624E"/>
    <w:rsid w:val="007F5CDC"/>
    <w:rsid w:val="00821940"/>
    <w:rsid w:val="00823089"/>
    <w:rsid w:val="008749F6"/>
    <w:rsid w:val="008B604E"/>
    <w:rsid w:val="00954911"/>
    <w:rsid w:val="00961519"/>
    <w:rsid w:val="009C1E19"/>
    <w:rsid w:val="00A54DEC"/>
    <w:rsid w:val="00A712BE"/>
    <w:rsid w:val="00AC6892"/>
    <w:rsid w:val="00B10969"/>
    <w:rsid w:val="00B11313"/>
    <w:rsid w:val="00B2526E"/>
    <w:rsid w:val="00BA054C"/>
    <w:rsid w:val="00BD4905"/>
    <w:rsid w:val="00C94E7D"/>
    <w:rsid w:val="00C9647B"/>
    <w:rsid w:val="00CB3C95"/>
    <w:rsid w:val="00D1508B"/>
    <w:rsid w:val="00D7117E"/>
    <w:rsid w:val="00E23A8D"/>
    <w:rsid w:val="00E508E8"/>
    <w:rsid w:val="00EC1CFE"/>
    <w:rsid w:val="00F1302E"/>
    <w:rsid w:val="00FA02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40"/>
    <w:rPr>
      <w:lang w:val="es-AR"/>
    </w:rPr>
  </w:style>
  <w:style w:type="paragraph" w:styleId="Ttulo1">
    <w:name w:val="heading 1"/>
    <w:basedOn w:val="Normal"/>
    <w:next w:val="Normal"/>
    <w:link w:val="Ttulo1Car"/>
    <w:qFormat/>
    <w:rsid w:val="006017A0"/>
    <w:pPr>
      <w:keepNext/>
      <w:spacing w:after="0" w:line="240" w:lineRule="auto"/>
      <w:ind w:firstLine="1985"/>
      <w:jc w:val="both"/>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semiHidden/>
    <w:unhideWhenUsed/>
    <w:qFormat/>
    <w:rsid w:val="006017A0"/>
    <w:pPr>
      <w:keepNext/>
      <w:spacing w:after="0" w:line="240" w:lineRule="auto"/>
      <w:ind w:left="-709" w:firstLine="425"/>
      <w:outlineLvl w:val="5"/>
    </w:pPr>
    <w:rPr>
      <w:rFonts w:ascii="Arial" w:eastAsia="Times New Roman" w:hAnsi="Arial"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unhideWhenUsed/>
    <w:rsid w:val="00821940"/>
    <w:pPr>
      <w:spacing w:after="0" w:line="240" w:lineRule="auto"/>
      <w:ind w:firstLine="708"/>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semiHidden/>
    <w:rsid w:val="00821940"/>
    <w:rPr>
      <w:rFonts w:ascii="Arial" w:eastAsia="Times New Roman" w:hAnsi="Arial" w:cs="Arial"/>
      <w:sz w:val="24"/>
      <w:szCs w:val="24"/>
      <w:lang w:val="es-AR" w:eastAsia="es-ES"/>
    </w:rPr>
  </w:style>
  <w:style w:type="paragraph" w:styleId="Textonotapie">
    <w:name w:val="footnote text"/>
    <w:basedOn w:val="Normal"/>
    <w:link w:val="TextonotapieCar"/>
    <w:semiHidden/>
    <w:unhideWhenUsed/>
    <w:rsid w:val="0070319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03191"/>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703191"/>
    <w:rPr>
      <w:vertAlign w:val="superscript"/>
    </w:rPr>
  </w:style>
  <w:style w:type="character" w:customStyle="1" w:styleId="Ttulo1Car">
    <w:name w:val="Título 1 Car"/>
    <w:basedOn w:val="Fuentedeprrafopredeter"/>
    <w:link w:val="Ttulo1"/>
    <w:rsid w:val="006017A0"/>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6017A0"/>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704333269">
      <w:bodyDiv w:val="1"/>
      <w:marLeft w:val="0"/>
      <w:marRight w:val="0"/>
      <w:marTop w:val="0"/>
      <w:marBottom w:val="0"/>
      <w:divBdr>
        <w:top w:val="none" w:sz="0" w:space="0" w:color="auto"/>
        <w:left w:val="none" w:sz="0" w:space="0" w:color="auto"/>
        <w:bottom w:val="none" w:sz="0" w:space="0" w:color="auto"/>
        <w:right w:val="none" w:sz="0" w:space="0" w:color="auto"/>
      </w:divBdr>
    </w:div>
    <w:div w:id="1297025176">
      <w:bodyDiv w:val="1"/>
      <w:marLeft w:val="0"/>
      <w:marRight w:val="0"/>
      <w:marTop w:val="0"/>
      <w:marBottom w:val="0"/>
      <w:divBdr>
        <w:top w:val="none" w:sz="0" w:space="0" w:color="auto"/>
        <w:left w:val="none" w:sz="0" w:space="0" w:color="auto"/>
        <w:bottom w:val="none" w:sz="0" w:space="0" w:color="auto"/>
        <w:right w:val="none" w:sz="0" w:space="0" w:color="auto"/>
      </w:divBdr>
    </w:div>
    <w:div w:id="18304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DIEZ</dc:creator>
  <cp:keywords/>
  <dc:description/>
  <cp:lastModifiedBy>dominio13</cp:lastModifiedBy>
  <cp:revision>34</cp:revision>
  <cp:lastPrinted>2015-09-17T12:05:00Z</cp:lastPrinted>
  <dcterms:created xsi:type="dcterms:W3CDTF">2015-04-22T16:18:00Z</dcterms:created>
  <dcterms:modified xsi:type="dcterms:W3CDTF">2015-10-16T12:04:00Z</dcterms:modified>
</cp:coreProperties>
</file>