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77" w:rsidRDefault="008535F8" w:rsidP="00421377">
      <w:pPr>
        <w:pStyle w:val="Ttulo5"/>
        <w:ind w:left="-540" w:right="5958" w:hanging="567"/>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45pt;width:37.9pt;height:56pt;z-index:251660288">
            <v:imagedata r:id="rId5" o:title=""/>
            <w10:wrap type="topAndBottom"/>
          </v:shape>
          <o:OLEObject Type="Embed" ProgID="PBrush" ShapeID="_x0000_s1026" DrawAspect="Content" ObjectID="_1507437865" r:id="rId6"/>
        </w:pict>
      </w:r>
      <w:r w:rsidR="00421377">
        <w:rPr>
          <w:b/>
          <w:noProof/>
        </w:rPr>
        <w:t>PROVINCIA del CHACO</w:t>
      </w:r>
    </w:p>
    <w:p w:rsidR="00421377" w:rsidRDefault="00421377" w:rsidP="00421377">
      <w:pPr>
        <w:pStyle w:val="Ttulo6"/>
        <w:ind w:right="5418" w:hanging="551"/>
        <w:jc w:val="center"/>
        <w:rPr>
          <w:rFonts w:ascii="Times New Roman" w:hAnsi="Times New Roman"/>
          <w:sz w:val="22"/>
          <w:szCs w:val="22"/>
        </w:rPr>
      </w:pPr>
      <w:r>
        <w:rPr>
          <w:rFonts w:ascii="Times New Roman" w:hAnsi="Times New Roman"/>
          <w:sz w:val="24"/>
        </w:rPr>
        <w:t xml:space="preserve"> </w:t>
      </w:r>
      <w:r>
        <w:rPr>
          <w:rFonts w:ascii="Times New Roman" w:hAnsi="Times New Roman"/>
          <w:sz w:val="22"/>
          <w:szCs w:val="22"/>
        </w:rPr>
        <w:t>Ministerio</w:t>
      </w:r>
      <w:r w:rsidR="00446822">
        <w:rPr>
          <w:rFonts w:ascii="Times New Roman" w:hAnsi="Times New Roman"/>
          <w:sz w:val="22"/>
          <w:szCs w:val="22"/>
        </w:rPr>
        <w:t xml:space="preserve"> de Gobierno, Justicia y Seguridad</w:t>
      </w:r>
    </w:p>
    <w:p w:rsidR="00421377" w:rsidRDefault="00421377" w:rsidP="00421377">
      <w:pPr>
        <w:pStyle w:val="Ttulo1"/>
        <w:ind w:left="-709" w:right="5958" w:hanging="567"/>
        <w:jc w:val="center"/>
        <w:rPr>
          <w:sz w:val="22"/>
          <w:szCs w:val="22"/>
        </w:rPr>
      </w:pPr>
      <w:r>
        <w:rPr>
          <w:b/>
          <w:i/>
          <w:sz w:val="22"/>
          <w:szCs w:val="22"/>
        </w:rPr>
        <w:t xml:space="preserve">Registro de </w:t>
      </w:r>
      <w:smartTag w:uri="urn:schemas-microsoft-com:office:smarttags" w:element="PersonName">
        <w:smartTagPr>
          <w:attr w:name="ProductID" w:val="la Propiedad Inmueble"/>
        </w:smartTagPr>
        <w:r>
          <w:rPr>
            <w:b/>
            <w:i/>
            <w:sz w:val="22"/>
            <w:szCs w:val="22"/>
          </w:rPr>
          <w:t>la Propiedad Inmueble</w:t>
        </w:r>
      </w:smartTag>
    </w:p>
    <w:p w:rsidR="00421377" w:rsidRDefault="00421377" w:rsidP="00421377">
      <w:pPr>
        <w:pStyle w:val="Ttulo1"/>
        <w:ind w:left="-709" w:right="5958" w:hanging="551"/>
        <w:jc w:val="center"/>
        <w:rPr>
          <w:b/>
          <w:sz w:val="16"/>
          <w:szCs w:val="16"/>
        </w:rPr>
      </w:pPr>
      <w:r>
        <w:rPr>
          <w:b/>
          <w:sz w:val="16"/>
          <w:szCs w:val="16"/>
        </w:rPr>
        <w:t>Av. Las Heras y Juan B. Justo</w:t>
      </w:r>
    </w:p>
    <w:p w:rsidR="00421377" w:rsidRDefault="00421377" w:rsidP="00421377">
      <w:pPr>
        <w:pStyle w:val="Ttulo1"/>
        <w:ind w:left="-709" w:right="5958" w:hanging="551"/>
        <w:jc w:val="center"/>
        <w:rPr>
          <w:b/>
          <w:sz w:val="16"/>
          <w:szCs w:val="16"/>
        </w:rPr>
      </w:pPr>
      <w:r>
        <w:rPr>
          <w:b/>
          <w:sz w:val="16"/>
          <w:szCs w:val="16"/>
        </w:rPr>
        <w:t>Resistencia – T.E.Nº03722–423266</w:t>
      </w:r>
    </w:p>
    <w:p w:rsidR="00421377" w:rsidRDefault="00421377" w:rsidP="00421377">
      <w:pPr>
        <w:ind w:right="51"/>
        <w:rPr>
          <w:i/>
          <w:iCs/>
        </w:rPr>
      </w:pPr>
    </w:p>
    <w:p w:rsidR="00421377" w:rsidRDefault="00421377" w:rsidP="00421377">
      <w:pPr>
        <w:ind w:right="51"/>
        <w:jc w:val="right"/>
      </w:pPr>
      <w:r>
        <w:t>Resistencia, 17 de Febrero de 2014.</w:t>
      </w:r>
    </w:p>
    <w:p w:rsidR="00421377" w:rsidRDefault="00421377" w:rsidP="00421377">
      <w:pPr>
        <w:ind w:right="51"/>
        <w:jc w:val="both"/>
      </w:pPr>
    </w:p>
    <w:p w:rsidR="00421377" w:rsidRDefault="00421377" w:rsidP="00421377">
      <w:pPr>
        <w:pStyle w:val="Textoindependiente2"/>
        <w:jc w:val="both"/>
      </w:pPr>
      <w:r>
        <w:rPr>
          <w:b/>
          <w:u w:val="single"/>
        </w:rPr>
        <w:t>VISTO:</w:t>
      </w:r>
      <w:r>
        <w:t xml:space="preserve">                            </w:t>
      </w:r>
    </w:p>
    <w:p w:rsidR="00421377" w:rsidRDefault="00421377" w:rsidP="00421377">
      <w:pPr>
        <w:pStyle w:val="Textoindependiente2"/>
        <w:ind w:firstLine="1980"/>
        <w:jc w:val="both"/>
      </w:pPr>
      <w:r>
        <w:t>Los casos de transferencia del dominio afectado por “clausula de inembargabilidad” provenientes del Decreto Ley 13.128/57 y de la Ley 22.232, y</w:t>
      </w:r>
      <w:r>
        <w:rPr>
          <w:rStyle w:val="cuerpo1"/>
          <w:rFonts w:ascii="Times New Roman" w:hAnsi="Times New Roman"/>
          <w:sz w:val="24"/>
        </w:rPr>
        <w:t>;</w:t>
      </w:r>
    </w:p>
    <w:p w:rsidR="00421377" w:rsidRDefault="00421377" w:rsidP="00421377">
      <w:pPr>
        <w:ind w:right="51"/>
        <w:jc w:val="both"/>
        <w:rPr>
          <w:b/>
          <w:u w:val="single"/>
        </w:rPr>
      </w:pPr>
      <w:r>
        <w:rPr>
          <w:b/>
          <w:u w:val="single"/>
        </w:rPr>
        <w:t>CONSIDERANDO:</w:t>
      </w:r>
    </w:p>
    <w:p w:rsidR="00421377" w:rsidRDefault="00421377" w:rsidP="00421377">
      <w:pPr>
        <w:ind w:right="51" w:firstLine="1980"/>
        <w:jc w:val="both"/>
        <w:rPr>
          <w:rStyle w:val="cuerpo1"/>
          <w:rFonts w:ascii="Times New Roman" w:hAnsi="Times New Roman"/>
          <w:sz w:val="24"/>
        </w:rPr>
      </w:pPr>
      <w:r>
        <w:t>Que en razón del criterio adoptado por el artículo 2º de la Resolución del Banco Hipotecario Nacional de fecha 31 de Julio de 1987, que señalo que debe considerarse la subsistencia de la “clausula de inembargabilidad" no obstante la cancelación de la hipoteca mientras el dominio permanezca en cabeza del beneficiario del préstamo garantizado, se adoptó dicha interpretación respecto de esos asientos</w:t>
      </w:r>
      <w:r>
        <w:rPr>
          <w:rStyle w:val="cuerpo1"/>
          <w:rFonts w:ascii="Times New Roman" w:hAnsi="Times New Roman"/>
          <w:sz w:val="24"/>
        </w:rPr>
        <w:t>.</w:t>
      </w:r>
    </w:p>
    <w:p w:rsidR="00421377" w:rsidRDefault="00421377" w:rsidP="00421377">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Que consecuentemente con el fallo de la Corte Suprema de Justicia de la Nación en autos “Jaralambides Teófilo c/ Pereira Rocha de Jaralambides Irma” (que prevé la subsistencia de las “clausulas de inembargabilidad” registradas, en los supuestos de cancelaciones de hipotecas constituidas a favor de dicha Institución. De este modo se expresa la Disposición Técnica Registral Nº7/1990.</w:t>
      </w:r>
    </w:p>
    <w:p w:rsidR="00421377" w:rsidRDefault="00421377" w:rsidP="00421377">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 xml:space="preserve">Que resulta diferente la situación en donde el titular de dominio habiendo cancelado la hipoteca que dio lugar a dicha cláusula accesoria, en forma contemporánea o posterior a esa cancelación, dispone a favor de un tercero la transferencia del dominio pleno y total por lo que </w:t>
      </w:r>
      <w:r w:rsidR="00240948">
        <w:rPr>
          <w:rStyle w:val="cuerpo1"/>
          <w:rFonts w:ascii="Times New Roman" w:hAnsi="Times New Roman" w:cs="Times New Roman"/>
          <w:sz w:val="24"/>
          <w:szCs w:val="24"/>
        </w:rPr>
        <w:t>fenece respecto de ese bien el beneficio (Personal-Familiar) de la inembargabilidad.</w:t>
      </w:r>
    </w:p>
    <w:p w:rsidR="00421377" w:rsidRDefault="00240948" w:rsidP="00421377">
      <w:pPr>
        <w:ind w:right="51" w:firstLine="1980"/>
        <w:jc w:val="both"/>
      </w:pPr>
      <w:r>
        <w:t>Por ello en uso de las facultades que le acuerda el artículo 36</w:t>
      </w:r>
      <w:r w:rsidR="00421377">
        <w:t xml:space="preserve"> </w:t>
      </w:r>
      <w:r>
        <w:t xml:space="preserve">inc. c) </w:t>
      </w:r>
      <w:r w:rsidR="00421377">
        <w:t>del Decreto Nº306/69.</w:t>
      </w:r>
    </w:p>
    <w:p w:rsidR="00421377" w:rsidRDefault="00421377" w:rsidP="00421377">
      <w:pPr>
        <w:jc w:val="both"/>
      </w:pPr>
    </w:p>
    <w:p w:rsidR="00421377" w:rsidRDefault="00421377" w:rsidP="00421377">
      <w:pPr>
        <w:ind w:right="51"/>
        <w:jc w:val="center"/>
        <w:rPr>
          <w:b/>
          <w:sz w:val="22"/>
          <w:szCs w:val="22"/>
        </w:rPr>
      </w:pPr>
      <w:r>
        <w:rPr>
          <w:b/>
          <w:sz w:val="22"/>
          <w:szCs w:val="22"/>
        </w:rPr>
        <w:t xml:space="preserve">LA DIRECTORA DEL REGISTRO DE LA PROPIEDAD INMUEBLE DEL CHACO </w:t>
      </w:r>
    </w:p>
    <w:p w:rsidR="00421377" w:rsidRDefault="00421377" w:rsidP="00421377">
      <w:pPr>
        <w:ind w:right="51"/>
        <w:jc w:val="center"/>
        <w:rPr>
          <w:b/>
          <w:sz w:val="22"/>
          <w:szCs w:val="22"/>
          <w:u w:val="single"/>
        </w:rPr>
      </w:pPr>
      <w:r>
        <w:rPr>
          <w:b/>
          <w:sz w:val="22"/>
          <w:szCs w:val="22"/>
          <w:u w:val="single"/>
        </w:rPr>
        <w:t xml:space="preserve">D I S P O N E </w:t>
      </w:r>
    </w:p>
    <w:p w:rsidR="00421377" w:rsidRDefault="00335D67" w:rsidP="00421377">
      <w:pPr>
        <w:pStyle w:val="NormalWeb"/>
        <w:numPr>
          <w:ilvl w:val="0"/>
          <w:numId w:val="1"/>
        </w:numPr>
        <w:jc w:val="both"/>
        <w:rPr>
          <w:rStyle w:val="cuerpo1"/>
          <w:rFonts w:ascii="Times New Roman" w:hAnsi="Times New Roman"/>
          <w:sz w:val="24"/>
        </w:rPr>
      </w:pPr>
      <w:r>
        <w:rPr>
          <w:rStyle w:val="cuerpo1"/>
          <w:rFonts w:ascii="Times New Roman" w:hAnsi="Times New Roman"/>
          <w:sz w:val="24"/>
        </w:rPr>
        <w:t>En los supuestos de transmisión de dominio en que existiendo hipoteca con beneficio de inembargabilidad – Decreto Ley 13.128 y Ley 22.232 -, en los cuales se hubiere cancelado el gravamen hipotecario (subsistiendo la cláusula únicamente), se entenderá que el acto de dispo</w:t>
      </w:r>
      <w:r w:rsidR="008F6F76">
        <w:rPr>
          <w:rStyle w:val="cuerpo1"/>
          <w:rFonts w:ascii="Times New Roman" w:hAnsi="Times New Roman"/>
          <w:sz w:val="24"/>
        </w:rPr>
        <w:t xml:space="preserve">sición de dominio significa la renuncia (tácita) del beneficio de inembargabilidad (artículo 873 del Código Civil), y en consecuencia, tratándose la misma de un derecho renunciable, no será causa de oponibilidad la vigencia de la citada cláusula, en consecuencia, la transferencia de dominio que se ruegue, será inscripta en forma definitiva. </w:t>
      </w:r>
    </w:p>
    <w:p w:rsidR="00421377" w:rsidRDefault="008F6F76" w:rsidP="00421377">
      <w:pPr>
        <w:pStyle w:val="NormalWeb"/>
        <w:numPr>
          <w:ilvl w:val="0"/>
          <w:numId w:val="1"/>
        </w:numPr>
        <w:jc w:val="both"/>
        <w:rPr>
          <w:rStyle w:val="cuerpo1"/>
          <w:rFonts w:ascii="Times New Roman" w:hAnsi="Times New Roman"/>
          <w:sz w:val="24"/>
        </w:rPr>
      </w:pPr>
      <w:r>
        <w:rPr>
          <w:rStyle w:val="cuerpo1"/>
          <w:rFonts w:ascii="Times New Roman" w:hAnsi="Times New Roman"/>
          <w:sz w:val="24"/>
        </w:rPr>
        <w:t>Hágase saber al Departamento de Dominio, Comuníquese al Colegio de Escribanos del Chaco. Publíquese en el Boletín Oficial. Cumplido, archívese</w:t>
      </w:r>
      <w:r w:rsidR="00421377">
        <w:rPr>
          <w:rStyle w:val="cuerpo1"/>
          <w:rFonts w:ascii="Times New Roman" w:hAnsi="Times New Roman"/>
          <w:sz w:val="24"/>
        </w:rPr>
        <w:t xml:space="preserve">. </w:t>
      </w:r>
    </w:p>
    <w:p w:rsidR="00421377" w:rsidRDefault="00421377" w:rsidP="00421377">
      <w:pPr>
        <w:numPr>
          <w:ilvl w:val="0"/>
          <w:numId w:val="1"/>
        </w:numPr>
        <w:ind w:right="51"/>
        <w:jc w:val="both"/>
        <w:rPr>
          <w:b/>
          <w:u w:val="single"/>
        </w:rPr>
      </w:pPr>
      <w:r>
        <w:t>NOTIFIQUESE, REGISTRESE, cumplido ARCHIVESE.</w:t>
      </w:r>
    </w:p>
    <w:p w:rsidR="00421377" w:rsidRDefault="00421377" w:rsidP="00421377">
      <w:pPr>
        <w:ind w:right="51"/>
        <w:jc w:val="both"/>
        <w:rPr>
          <w:b/>
          <w:u w:val="single"/>
        </w:rPr>
      </w:pPr>
    </w:p>
    <w:p w:rsidR="00787129" w:rsidRDefault="00787129" w:rsidP="00421377">
      <w:pPr>
        <w:ind w:right="51"/>
        <w:jc w:val="both"/>
        <w:rPr>
          <w:b/>
          <w:u w:val="single"/>
        </w:rPr>
      </w:pPr>
    </w:p>
    <w:p w:rsidR="00787129" w:rsidRDefault="00787129" w:rsidP="00421377">
      <w:pPr>
        <w:ind w:right="51"/>
        <w:jc w:val="both"/>
        <w:rPr>
          <w:b/>
          <w:u w:val="single"/>
        </w:rPr>
      </w:pPr>
    </w:p>
    <w:p w:rsidR="00787129" w:rsidRDefault="00787129" w:rsidP="00421377">
      <w:pPr>
        <w:ind w:right="51"/>
        <w:jc w:val="both"/>
        <w:rPr>
          <w:b/>
          <w:u w:val="single"/>
        </w:rPr>
      </w:pPr>
    </w:p>
    <w:p w:rsidR="00787129" w:rsidRDefault="00787129" w:rsidP="00421377">
      <w:pPr>
        <w:ind w:right="51"/>
        <w:jc w:val="both"/>
        <w:rPr>
          <w:b/>
          <w:u w:val="single"/>
        </w:rPr>
      </w:pPr>
    </w:p>
    <w:p w:rsidR="00787129" w:rsidRDefault="00787129" w:rsidP="00421377">
      <w:pPr>
        <w:ind w:right="51"/>
        <w:jc w:val="both"/>
        <w:rPr>
          <w:b/>
          <w:u w:val="single"/>
        </w:rPr>
      </w:pPr>
    </w:p>
    <w:p w:rsidR="00421377" w:rsidRDefault="00421377" w:rsidP="00421377">
      <w:r>
        <w:rPr>
          <w:b/>
          <w:u w:val="single"/>
        </w:rPr>
        <w:t>DISPOSICIÓN TECNICA REGIS</w:t>
      </w:r>
      <w:r w:rsidR="00240948">
        <w:rPr>
          <w:b/>
          <w:u w:val="single"/>
        </w:rPr>
        <w:t>TRAL Nº06/</w:t>
      </w:r>
      <w:r>
        <w:rPr>
          <w:b/>
          <w:u w:val="single"/>
        </w:rPr>
        <w:t>2014.-</w:t>
      </w:r>
    </w:p>
    <w:p w:rsidR="00421377" w:rsidRDefault="00421377" w:rsidP="00421377"/>
    <w:p w:rsidR="00421377" w:rsidRDefault="00421377" w:rsidP="00421377"/>
    <w:p w:rsidR="00787129" w:rsidRDefault="00787129" w:rsidP="00787129">
      <w:pPr>
        <w:ind w:left="3828"/>
        <w:jc w:val="center"/>
      </w:pPr>
      <w:r>
        <w:t>LILIA NOEMI DIEZ</w:t>
      </w:r>
    </w:p>
    <w:p w:rsidR="00787129" w:rsidRDefault="00787129" w:rsidP="00787129">
      <w:pPr>
        <w:ind w:left="3828"/>
        <w:jc w:val="center"/>
      </w:pPr>
      <w:r>
        <w:t>ABOGADA-ESCRIBANA</w:t>
      </w:r>
    </w:p>
    <w:p w:rsidR="00787129" w:rsidRDefault="00787129" w:rsidP="00787129">
      <w:pPr>
        <w:ind w:left="3828"/>
        <w:jc w:val="center"/>
      </w:pPr>
      <w:r>
        <w:t>DIRECTORA</w:t>
      </w:r>
    </w:p>
    <w:p w:rsidR="00787129" w:rsidRDefault="00787129" w:rsidP="00787129">
      <w:pPr>
        <w:ind w:left="3828"/>
        <w:jc w:val="center"/>
      </w:pPr>
      <w:r>
        <w:t>REGISTRO DE LA PROPIEDAD INMUEBLE</w:t>
      </w:r>
    </w:p>
    <w:p w:rsidR="00787129" w:rsidRDefault="00787129" w:rsidP="00787129">
      <w:pPr>
        <w:jc w:val="center"/>
      </w:pPr>
    </w:p>
    <w:p w:rsidR="00F44AC8" w:rsidRDefault="00F44AC8" w:rsidP="00787129">
      <w:pPr>
        <w:jc w:val="center"/>
      </w:pPr>
    </w:p>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7C43"/>
    <w:multiLevelType w:val="hybridMultilevel"/>
    <w:tmpl w:val="F490FDD2"/>
    <w:lvl w:ilvl="0" w:tplc="145C4D82">
      <w:start w:val="1"/>
      <w:numFmt w:val="decimal"/>
      <w:lvlText w:val="Art.%1"/>
      <w:lvlJc w:val="right"/>
      <w:pPr>
        <w:tabs>
          <w:tab w:val="num" w:pos="720"/>
        </w:tabs>
        <w:ind w:left="720"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21377"/>
    <w:rsid w:val="00240948"/>
    <w:rsid w:val="00335D67"/>
    <w:rsid w:val="00421377"/>
    <w:rsid w:val="00446822"/>
    <w:rsid w:val="0053100B"/>
    <w:rsid w:val="00787129"/>
    <w:rsid w:val="008535F8"/>
    <w:rsid w:val="008F6F76"/>
    <w:rsid w:val="00BD3324"/>
    <w:rsid w:val="00EF30A1"/>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77"/>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21377"/>
    <w:pPr>
      <w:keepNext/>
      <w:ind w:firstLine="1985"/>
      <w:jc w:val="both"/>
      <w:outlineLvl w:val="0"/>
    </w:pPr>
    <w:rPr>
      <w:szCs w:val="20"/>
    </w:rPr>
  </w:style>
  <w:style w:type="paragraph" w:styleId="Ttulo5">
    <w:name w:val="heading 5"/>
    <w:basedOn w:val="Normal"/>
    <w:next w:val="Normal"/>
    <w:link w:val="Ttulo5Car"/>
    <w:semiHidden/>
    <w:unhideWhenUsed/>
    <w:qFormat/>
    <w:rsid w:val="00421377"/>
    <w:pPr>
      <w:keepNext/>
      <w:ind w:right="51"/>
      <w:jc w:val="both"/>
      <w:outlineLvl w:val="4"/>
    </w:pPr>
    <w:rPr>
      <w:szCs w:val="20"/>
    </w:rPr>
  </w:style>
  <w:style w:type="paragraph" w:styleId="Ttulo6">
    <w:name w:val="heading 6"/>
    <w:basedOn w:val="Normal"/>
    <w:next w:val="Normal"/>
    <w:link w:val="Ttulo6Car"/>
    <w:semiHidden/>
    <w:unhideWhenUsed/>
    <w:qFormat/>
    <w:rsid w:val="00421377"/>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21377"/>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421377"/>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421377"/>
    <w:rPr>
      <w:rFonts w:ascii="Arial" w:eastAsia="Times New Roman" w:hAnsi="Arial" w:cs="Times New Roman"/>
      <w:b/>
      <w:i/>
      <w:sz w:val="20"/>
      <w:szCs w:val="20"/>
      <w:lang w:eastAsia="es-ES"/>
    </w:rPr>
  </w:style>
  <w:style w:type="paragraph" w:styleId="NormalWeb">
    <w:name w:val="Normal (Web)"/>
    <w:basedOn w:val="Normal"/>
    <w:semiHidden/>
    <w:unhideWhenUsed/>
    <w:rsid w:val="00421377"/>
    <w:pPr>
      <w:spacing w:before="100" w:beforeAutospacing="1" w:after="100" w:afterAutospacing="1"/>
    </w:pPr>
  </w:style>
  <w:style w:type="paragraph" w:styleId="Textoindependiente2">
    <w:name w:val="Body Text 2"/>
    <w:basedOn w:val="Normal"/>
    <w:link w:val="Textoindependiente2Car"/>
    <w:semiHidden/>
    <w:unhideWhenUsed/>
    <w:rsid w:val="00421377"/>
    <w:pPr>
      <w:ind w:right="51"/>
      <w:jc w:val="center"/>
    </w:pPr>
    <w:rPr>
      <w:szCs w:val="20"/>
    </w:rPr>
  </w:style>
  <w:style w:type="character" w:customStyle="1" w:styleId="Textoindependiente2Car">
    <w:name w:val="Texto independiente 2 Car"/>
    <w:basedOn w:val="Fuentedeprrafopredeter"/>
    <w:link w:val="Textoindependiente2"/>
    <w:semiHidden/>
    <w:rsid w:val="00421377"/>
    <w:rPr>
      <w:rFonts w:ascii="Times New Roman" w:eastAsia="Times New Roman" w:hAnsi="Times New Roman" w:cs="Times New Roman"/>
      <w:sz w:val="24"/>
      <w:szCs w:val="20"/>
      <w:lang w:eastAsia="es-ES"/>
    </w:rPr>
  </w:style>
  <w:style w:type="character" w:customStyle="1" w:styleId="cuerpo1">
    <w:name w:val="cuerpo1"/>
    <w:basedOn w:val="Fuentedeprrafopredeter"/>
    <w:rsid w:val="00421377"/>
    <w:rPr>
      <w:rFonts w:ascii="Arial" w:hAnsi="Arial" w:cs="Arial"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divs>
    <w:div w:id="1432436754">
      <w:bodyDiv w:val="1"/>
      <w:marLeft w:val="0"/>
      <w:marRight w:val="0"/>
      <w:marTop w:val="0"/>
      <w:marBottom w:val="0"/>
      <w:divBdr>
        <w:top w:val="none" w:sz="0" w:space="0" w:color="auto"/>
        <w:left w:val="none" w:sz="0" w:space="0" w:color="auto"/>
        <w:bottom w:val="none" w:sz="0" w:space="0" w:color="auto"/>
        <w:right w:val="none" w:sz="0" w:space="0" w:color="auto"/>
      </w:divBdr>
    </w:div>
    <w:div w:id="18320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408</Words>
  <Characters>2246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4</cp:revision>
  <dcterms:created xsi:type="dcterms:W3CDTF">2015-05-07T13:37:00Z</dcterms:created>
  <dcterms:modified xsi:type="dcterms:W3CDTF">2015-10-27T10:58:00Z</dcterms:modified>
</cp:coreProperties>
</file>