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CC" w:rsidRDefault="001A7899" w:rsidP="002A0BCC">
      <w:pPr>
        <w:pStyle w:val="Ttulo5"/>
        <w:ind w:right="0" w:hanging="567"/>
        <w:jc w:val="left"/>
      </w:pPr>
      <w:r w:rsidRPr="001A7899">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6.7pt;width:37.9pt;height:56pt;z-index:251660288">
            <v:imagedata r:id="rId5" o:title=""/>
            <w10:wrap type="topAndBottom"/>
          </v:shape>
          <o:OLEObject Type="Embed" ProgID="PBrush" ShapeID="_x0000_s1026" DrawAspect="Content" ObjectID="_1507437958" r:id="rId6"/>
        </w:pict>
      </w:r>
      <w:r w:rsidR="002A0BCC">
        <w:rPr>
          <w:rFonts w:ascii="Arial" w:hAnsi="Arial"/>
          <w:b/>
          <w:noProof/>
        </w:rPr>
        <w:t>PROVINCIA del CHACO</w:t>
      </w:r>
    </w:p>
    <w:p w:rsidR="002A0BCC" w:rsidRDefault="002A0BCC" w:rsidP="002A0BCC">
      <w:pPr>
        <w:pStyle w:val="Ttulo6"/>
        <w:ind w:hanging="1418"/>
      </w:pPr>
      <w:r>
        <w:t xml:space="preserve">                 Ministerio</w:t>
      </w:r>
      <w:r w:rsidR="00055B7C">
        <w:t xml:space="preserve"> de Gobierno, Justicia y Seguridad</w:t>
      </w:r>
    </w:p>
    <w:p w:rsidR="002A0BCC" w:rsidRDefault="002A0BCC" w:rsidP="002A0BCC">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2A0BCC" w:rsidRDefault="002A0BCC" w:rsidP="002A0BCC">
      <w:pPr>
        <w:ind w:right="51"/>
        <w:jc w:val="right"/>
        <w:rPr>
          <w:sz w:val="24"/>
        </w:rPr>
      </w:pPr>
      <w:bookmarkStart w:id="0" w:name="_Hlt524920008"/>
      <w:bookmarkEnd w:id="0"/>
    </w:p>
    <w:p w:rsidR="002A0BCC" w:rsidRPr="00287A53" w:rsidRDefault="002A0BCC" w:rsidP="002A0BCC">
      <w:pPr>
        <w:ind w:right="51"/>
        <w:jc w:val="center"/>
        <w:rPr>
          <w:sz w:val="22"/>
          <w:szCs w:val="22"/>
        </w:rPr>
      </w:pPr>
      <w:r w:rsidRPr="00287A53">
        <w:rPr>
          <w:i/>
          <w:iCs/>
          <w:sz w:val="22"/>
          <w:szCs w:val="22"/>
        </w:rPr>
        <w:t>2014 –Año de la concordia, el dialogo y la paz – S.S. Francisco – Ley 7344.-</w:t>
      </w:r>
    </w:p>
    <w:p w:rsidR="002A0BCC" w:rsidRPr="009959C2" w:rsidRDefault="002A0BCC" w:rsidP="002A0BCC">
      <w:pPr>
        <w:ind w:right="51"/>
        <w:jc w:val="right"/>
        <w:rPr>
          <w:sz w:val="16"/>
          <w:szCs w:val="16"/>
        </w:rPr>
      </w:pPr>
    </w:p>
    <w:p w:rsidR="002A0BCC" w:rsidRPr="009959C2" w:rsidRDefault="002A0BCC" w:rsidP="002A0BCC">
      <w:pPr>
        <w:ind w:right="51"/>
        <w:jc w:val="right"/>
        <w:rPr>
          <w:sz w:val="24"/>
          <w:szCs w:val="24"/>
        </w:rPr>
      </w:pPr>
      <w:bookmarkStart w:id="1" w:name="_Hlt67287078"/>
      <w:r w:rsidRPr="009959C2">
        <w:rPr>
          <w:sz w:val="24"/>
          <w:szCs w:val="24"/>
        </w:rPr>
        <w:t>Resistencia, 22 de Abril de 2014.</w:t>
      </w:r>
    </w:p>
    <w:p w:rsidR="002A0BCC" w:rsidRPr="009959C2" w:rsidRDefault="002A0BCC" w:rsidP="002A0BCC">
      <w:pPr>
        <w:ind w:right="51"/>
        <w:jc w:val="both"/>
        <w:rPr>
          <w:sz w:val="24"/>
          <w:szCs w:val="24"/>
        </w:rPr>
      </w:pPr>
      <w:bookmarkStart w:id="2" w:name="_Hlt3251497"/>
      <w:bookmarkStart w:id="3" w:name="NORMATIVA"/>
      <w:bookmarkEnd w:id="1"/>
      <w:bookmarkEnd w:id="2"/>
      <w:r w:rsidRPr="009959C2">
        <w:rPr>
          <w:b/>
          <w:sz w:val="24"/>
          <w:szCs w:val="24"/>
          <w:u w:val="single"/>
        </w:rPr>
        <w:t>VISTO</w:t>
      </w:r>
      <w:bookmarkEnd w:id="3"/>
      <w:r w:rsidRPr="009959C2">
        <w:rPr>
          <w:b/>
          <w:sz w:val="24"/>
          <w:szCs w:val="24"/>
          <w:u w:val="single"/>
        </w:rPr>
        <w:t>:</w:t>
      </w:r>
    </w:p>
    <w:p w:rsidR="002A0BCC" w:rsidRPr="009959C2" w:rsidRDefault="002A0BCC" w:rsidP="002A0BCC">
      <w:pPr>
        <w:pStyle w:val="Sangra2detindependiente"/>
        <w:rPr>
          <w:szCs w:val="24"/>
        </w:rPr>
      </w:pPr>
      <w:r w:rsidRPr="009959C2">
        <w:rPr>
          <w:szCs w:val="24"/>
        </w:rPr>
        <w:t xml:space="preserve">La toma razón prevista en el artículo 5º de </w:t>
      </w:r>
      <w:smartTag w:uri="urn:schemas-microsoft-com:office:smarttags" w:element="PersonName">
        <w:smartTagPr>
          <w:attr w:name="ProductID" w:val="la Ley"/>
        </w:smartTagPr>
        <w:r w:rsidRPr="009959C2">
          <w:rPr>
            <w:szCs w:val="24"/>
          </w:rPr>
          <w:t>la Ley</w:t>
        </w:r>
      </w:smartTag>
      <w:r w:rsidRPr="009959C2">
        <w:rPr>
          <w:szCs w:val="24"/>
        </w:rPr>
        <w:t xml:space="preserve"> 25.509, y;</w:t>
      </w:r>
    </w:p>
    <w:p w:rsidR="002A0BCC" w:rsidRPr="009959C2" w:rsidRDefault="002A0BCC" w:rsidP="002A0BCC">
      <w:pPr>
        <w:pStyle w:val="Sangra2detindependiente"/>
        <w:rPr>
          <w:sz w:val="16"/>
          <w:szCs w:val="16"/>
        </w:rPr>
      </w:pPr>
    </w:p>
    <w:p w:rsidR="002A0BCC" w:rsidRPr="009959C2" w:rsidRDefault="002A0BCC" w:rsidP="002A0BCC">
      <w:pPr>
        <w:ind w:right="51"/>
        <w:jc w:val="both"/>
        <w:rPr>
          <w:b/>
          <w:sz w:val="24"/>
          <w:szCs w:val="24"/>
          <w:u w:val="single"/>
        </w:rPr>
      </w:pPr>
      <w:r w:rsidRPr="009959C2">
        <w:rPr>
          <w:b/>
          <w:sz w:val="24"/>
          <w:szCs w:val="24"/>
          <w:u w:val="single"/>
        </w:rPr>
        <w:t>CONSIDERANDO:</w:t>
      </w:r>
    </w:p>
    <w:p w:rsidR="002A0BCC" w:rsidRPr="009959C2" w:rsidRDefault="002A0BCC" w:rsidP="002A0BCC">
      <w:pPr>
        <w:ind w:right="51" w:firstLine="1985"/>
        <w:jc w:val="both"/>
        <w:rPr>
          <w:sz w:val="24"/>
          <w:szCs w:val="24"/>
        </w:rPr>
      </w:pPr>
      <w:r w:rsidRPr="009959C2">
        <w:rPr>
          <w:sz w:val="24"/>
          <w:szCs w:val="24"/>
        </w:rPr>
        <w:t xml:space="preserve">Que el asiento de los derechos reales en sede registral está previsto en los artículos 2505, 3135 y concordantes del Código Civil y el artículo 2 y concordantes de </w:t>
      </w:r>
      <w:smartTag w:uri="urn:schemas-microsoft-com:office:smarttags" w:element="PersonName">
        <w:smartTagPr>
          <w:attr w:name="ProductID" w:val="la Ley Nacional"/>
        </w:smartTagPr>
        <w:smartTag w:uri="urn:schemas-microsoft-com:office:smarttags" w:element="PersonName">
          <w:smartTagPr>
            <w:attr w:name="ProductID" w:val="la Ley"/>
          </w:smartTagPr>
          <w:r w:rsidRPr="009959C2">
            <w:rPr>
              <w:sz w:val="24"/>
              <w:szCs w:val="24"/>
            </w:rPr>
            <w:t>la Ley</w:t>
          </w:r>
        </w:smartTag>
        <w:r w:rsidRPr="009959C2">
          <w:rPr>
            <w:sz w:val="24"/>
            <w:szCs w:val="24"/>
          </w:rPr>
          <w:t xml:space="preserve"> Nacional</w:t>
        </w:r>
      </w:smartTag>
      <w:r w:rsidRPr="009959C2">
        <w:rPr>
          <w:sz w:val="24"/>
          <w:szCs w:val="24"/>
        </w:rPr>
        <w:t xml:space="preserve"> 17.801;</w:t>
      </w:r>
    </w:p>
    <w:p w:rsidR="002A0BCC" w:rsidRPr="009959C2" w:rsidRDefault="002A0BCC" w:rsidP="002A0BCC">
      <w:pPr>
        <w:ind w:right="51" w:firstLine="1985"/>
        <w:jc w:val="both"/>
        <w:rPr>
          <w:sz w:val="24"/>
          <w:szCs w:val="24"/>
        </w:rPr>
      </w:pPr>
      <w:r w:rsidRPr="009959C2">
        <w:rPr>
          <w:sz w:val="24"/>
          <w:szCs w:val="24"/>
        </w:rPr>
        <w:t xml:space="preserve">Que de acuerdo a lo establecido en el artículo 5º de </w:t>
      </w:r>
      <w:smartTag w:uri="urn:schemas-microsoft-com:office:smarttags" w:element="PersonName">
        <w:smartTagPr>
          <w:attr w:name="ProductID" w:val="la Ley"/>
        </w:smartTagPr>
        <w:r w:rsidRPr="009959C2">
          <w:rPr>
            <w:sz w:val="24"/>
            <w:szCs w:val="24"/>
          </w:rPr>
          <w:t>la Ley</w:t>
        </w:r>
      </w:smartTag>
      <w:r w:rsidRPr="009959C2">
        <w:rPr>
          <w:sz w:val="24"/>
          <w:szCs w:val="24"/>
        </w:rPr>
        <w:t xml:space="preserve"> 25.509 el derecho real de superficie forestal queda comprendido dentro del régimen legal de la publicidad registral, establecido en </w:t>
      </w:r>
      <w:smartTag w:uri="urn:schemas-microsoft-com:office:smarttags" w:element="PersonName">
        <w:smartTagPr>
          <w:attr w:name="ProductID" w:val="la Ley"/>
        </w:smartTagPr>
        <w:r w:rsidRPr="009959C2">
          <w:rPr>
            <w:sz w:val="24"/>
            <w:szCs w:val="24"/>
          </w:rPr>
          <w:t>la Ley</w:t>
        </w:r>
      </w:smartTag>
      <w:r w:rsidRPr="009959C2">
        <w:rPr>
          <w:sz w:val="24"/>
          <w:szCs w:val="24"/>
        </w:rPr>
        <w:t xml:space="preserve"> 17.801, por lo que son aplicables a los documentos que se pretendan inscribir las normas relativas a la publicidad previa (certificación), prioridad, tracto sucesivo, especialidad y la pertinente calificación registral, con las particularidades que presenta este nuevo derecho real en cuanto a </w:t>
      </w:r>
      <w:proofErr w:type="spellStart"/>
      <w:r w:rsidRPr="009959C2">
        <w:rPr>
          <w:sz w:val="24"/>
          <w:szCs w:val="24"/>
        </w:rPr>
        <w:t>oponibilidad</w:t>
      </w:r>
      <w:proofErr w:type="spellEnd"/>
      <w:r w:rsidRPr="009959C2">
        <w:rPr>
          <w:sz w:val="24"/>
          <w:szCs w:val="24"/>
        </w:rPr>
        <w:t xml:space="preserve"> e incompatibilidad;</w:t>
      </w:r>
    </w:p>
    <w:p w:rsidR="002A0BCC" w:rsidRPr="009959C2" w:rsidRDefault="002A0BCC" w:rsidP="002A0BCC">
      <w:pPr>
        <w:ind w:right="51" w:firstLine="1985"/>
        <w:jc w:val="both"/>
        <w:rPr>
          <w:sz w:val="24"/>
          <w:szCs w:val="24"/>
        </w:rPr>
      </w:pPr>
      <w:bookmarkStart w:id="4" w:name="_Hlt19932522"/>
      <w:bookmarkEnd w:id="4"/>
      <w:r w:rsidRPr="009959C2">
        <w:rPr>
          <w:sz w:val="24"/>
          <w:szCs w:val="24"/>
        </w:rPr>
        <w:t xml:space="preserve">Por ello, y en virtud de lo dispuesto por el artículo 36 inciso a) del Decreto Nº306/69; </w:t>
      </w:r>
    </w:p>
    <w:p w:rsidR="002A0BCC" w:rsidRPr="009959C2" w:rsidRDefault="002A0BCC" w:rsidP="002A0BCC">
      <w:pPr>
        <w:ind w:right="51" w:firstLine="1985"/>
        <w:jc w:val="both"/>
        <w:rPr>
          <w:sz w:val="16"/>
          <w:szCs w:val="16"/>
        </w:rPr>
      </w:pPr>
    </w:p>
    <w:p w:rsidR="002A0BCC" w:rsidRPr="009959C2" w:rsidRDefault="002A0BCC" w:rsidP="002A0BCC">
      <w:pPr>
        <w:ind w:right="51"/>
        <w:jc w:val="center"/>
        <w:rPr>
          <w:b/>
          <w:sz w:val="24"/>
          <w:szCs w:val="24"/>
        </w:rPr>
      </w:pPr>
      <w:smartTag w:uri="urn:schemas-microsoft-com:office:smarttags" w:element="PersonName">
        <w:smartTagPr>
          <w:attr w:name="ProductID" w:val="LA DIRECTORA DEL"/>
        </w:smartTagPr>
        <w:r w:rsidRPr="009959C2">
          <w:rPr>
            <w:b/>
            <w:sz w:val="24"/>
            <w:szCs w:val="24"/>
          </w:rPr>
          <w:t>LA DIRECTORA DEL</w:t>
        </w:r>
      </w:smartTag>
      <w:r w:rsidRPr="009959C2">
        <w:rPr>
          <w:b/>
          <w:sz w:val="24"/>
          <w:szCs w:val="24"/>
        </w:rPr>
        <w:t xml:space="preserve"> REGISTRO DE </w:t>
      </w:r>
      <w:smartTag w:uri="urn:schemas-microsoft-com:office:smarttags" w:element="PersonName">
        <w:smartTagPr>
          <w:attr w:name="ProductID" w:val="la Propiedad Inmueble"/>
        </w:smartTagPr>
        <w:r w:rsidRPr="009959C2">
          <w:rPr>
            <w:b/>
            <w:sz w:val="24"/>
            <w:szCs w:val="24"/>
          </w:rPr>
          <w:t>LA PROPIEDAD INMUEBLE</w:t>
        </w:r>
      </w:smartTag>
    </w:p>
    <w:p w:rsidR="002A0BCC" w:rsidRPr="009959C2" w:rsidRDefault="002A0BCC" w:rsidP="002A0BCC">
      <w:pPr>
        <w:ind w:right="51"/>
        <w:jc w:val="center"/>
        <w:rPr>
          <w:b/>
          <w:sz w:val="24"/>
          <w:szCs w:val="24"/>
          <w:u w:val="single"/>
        </w:rPr>
      </w:pPr>
      <w:r w:rsidRPr="009959C2">
        <w:rPr>
          <w:b/>
          <w:sz w:val="24"/>
          <w:szCs w:val="24"/>
          <w:u w:val="single"/>
        </w:rPr>
        <w:t xml:space="preserve">D I S P O N E </w:t>
      </w:r>
    </w:p>
    <w:p w:rsidR="002A0BCC" w:rsidRPr="009959C2" w:rsidRDefault="002A0BCC" w:rsidP="002A0BCC">
      <w:pPr>
        <w:ind w:right="51"/>
        <w:jc w:val="center"/>
        <w:rPr>
          <w:b/>
          <w:sz w:val="16"/>
          <w:szCs w:val="16"/>
          <w:u w:val="single"/>
        </w:rPr>
      </w:pPr>
    </w:p>
    <w:p w:rsidR="002A0BCC" w:rsidRPr="009959C2" w:rsidRDefault="002A0BCC" w:rsidP="002A0BCC">
      <w:pPr>
        <w:numPr>
          <w:ilvl w:val="0"/>
          <w:numId w:val="2"/>
        </w:numPr>
        <w:ind w:right="51"/>
        <w:jc w:val="both"/>
        <w:rPr>
          <w:sz w:val="24"/>
          <w:szCs w:val="24"/>
        </w:rPr>
      </w:pPr>
      <w:r w:rsidRPr="009959C2">
        <w:rPr>
          <w:sz w:val="24"/>
          <w:szCs w:val="24"/>
        </w:rPr>
        <w:t xml:space="preserve">Toda vez que se ruegue la toma de razón de documentos portantes de constitución de Derecho Real de Superficie Forestal en los términos de </w:t>
      </w:r>
      <w:smartTag w:uri="urn:schemas-microsoft-com:office:smarttags" w:element="PersonName">
        <w:smartTagPr>
          <w:attr w:name="ProductID" w:val="la Ley"/>
        </w:smartTagPr>
        <w:r w:rsidRPr="009959C2">
          <w:rPr>
            <w:sz w:val="24"/>
            <w:szCs w:val="24"/>
          </w:rPr>
          <w:t>la Ley</w:t>
        </w:r>
      </w:smartTag>
      <w:r w:rsidRPr="009959C2">
        <w:rPr>
          <w:sz w:val="24"/>
          <w:szCs w:val="24"/>
        </w:rPr>
        <w:t xml:space="preserve"> 25.509 se han de procesar tales documentos calificando la procedencia de su asiento definitivo o provisional según corresponda.</w:t>
      </w:r>
    </w:p>
    <w:p w:rsidR="002A0BCC" w:rsidRPr="009959C2" w:rsidRDefault="002A0BCC" w:rsidP="002A0BCC">
      <w:pPr>
        <w:numPr>
          <w:ilvl w:val="0"/>
          <w:numId w:val="2"/>
        </w:numPr>
        <w:ind w:right="51"/>
        <w:jc w:val="both"/>
        <w:rPr>
          <w:sz w:val="24"/>
          <w:szCs w:val="24"/>
        </w:rPr>
      </w:pPr>
      <w:r w:rsidRPr="009959C2">
        <w:rPr>
          <w:sz w:val="24"/>
          <w:szCs w:val="24"/>
        </w:rPr>
        <w:t xml:space="preserve">Los contratos deberán ser instrumentados en escritura pública, en cuyo acto deberá otorgarse la tradición de la posesión conforme lo establece el artículo 5 de </w:t>
      </w:r>
      <w:smartTag w:uri="urn:schemas-microsoft-com:office:smarttags" w:element="PersonName">
        <w:smartTagPr>
          <w:attr w:name="ProductID" w:val="la Ley"/>
        </w:smartTagPr>
        <w:r w:rsidRPr="009959C2">
          <w:rPr>
            <w:sz w:val="24"/>
            <w:szCs w:val="24"/>
          </w:rPr>
          <w:t>la Ley</w:t>
        </w:r>
      </w:smartTag>
      <w:r w:rsidRPr="009959C2">
        <w:rPr>
          <w:sz w:val="24"/>
          <w:szCs w:val="24"/>
        </w:rPr>
        <w:t xml:space="preserve"> 25.509.</w:t>
      </w:r>
    </w:p>
    <w:p w:rsidR="002A0BCC" w:rsidRPr="009959C2" w:rsidRDefault="002A0BCC" w:rsidP="002A0BCC">
      <w:pPr>
        <w:numPr>
          <w:ilvl w:val="0"/>
          <w:numId w:val="2"/>
        </w:numPr>
        <w:ind w:right="51"/>
        <w:jc w:val="both"/>
        <w:rPr>
          <w:sz w:val="24"/>
          <w:szCs w:val="24"/>
        </w:rPr>
      </w:pPr>
      <w:r w:rsidRPr="009959C2">
        <w:rPr>
          <w:sz w:val="24"/>
          <w:szCs w:val="24"/>
        </w:rPr>
        <w:t xml:space="preserve">De conformidad con el principio de especialidad será necesaria la determinación de la superficie afectada mediante plano técnicamente idóneo, cuando esa superficie no coincida en su totalidad con la del dominio del cual se ha de desmembrar (conf. artículos 14 y 15 de </w:t>
      </w:r>
      <w:smartTag w:uri="urn:schemas-microsoft-com:office:smarttags" w:element="PersonName">
        <w:smartTagPr>
          <w:attr w:name="ProductID" w:val="la Ley"/>
        </w:smartTagPr>
        <w:r w:rsidRPr="009959C2">
          <w:rPr>
            <w:sz w:val="24"/>
            <w:szCs w:val="24"/>
          </w:rPr>
          <w:t>la Ley</w:t>
        </w:r>
      </w:smartTag>
      <w:r w:rsidRPr="009959C2">
        <w:rPr>
          <w:sz w:val="24"/>
          <w:szCs w:val="24"/>
        </w:rPr>
        <w:t xml:space="preserve"> 4.851).</w:t>
      </w:r>
    </w:p>
    <w:p w:rsidR="002A0BCC" w:rsidRPr="009959C2" w:rsidRDefault="002A0BCC" w:rsidP="002A0BCC">
      <w:pPr>
        <w:numPr>
          <w:ilvl w:val="0"/>
          <w:numId w:val="2"/>
        </w:numPr>
        <w:ind w:right="51"/>
        <w:jc w:val="both"/>
        <w:rPr>
          <w:sz w:val="24"/>
          <w:szCs w:val="24"/>
        </w:rPr>
      </w:pPr>
      <w:r w:rsidRPr="009959C2">
        <w:rPr>
          <w:sz w:val="24"/>
          <w:szCs w:val="24"/>
        </w:rPr>
        <w:t xml:space="preserve">El derecho real de superficie forestal se emplazará en el folio real donde consta inscripta la titularidad del dominio al que accede, en el rubro destinado a publicitar los “gravámenes y restricciones”, y deberá contener clara remisión al “folio real forestal” que se abrirá especialmente, tal como lo prevé el artículo 5 de </w:t>
      </w:r>
      <w:smartTag w:uri="urn:schemas-microsoft-com:office:smarttags" w:element="PersonName">
        <w:smartTagPr>
          <w:attr w:name="ProductID" w:val="la Ley"/>
        </w:smartTagPr>
        <w:r w:rsidRPr="009959C2">
          <w:rPr>
            <w:sz w:val="24"/>
            <w:szCs w:val="24"/>
          </w:rPr>
          <w:t>la Ley</w:t>
        </w:r>
      </w:smartTag>
      <w:r w:rsidRPr="009959C2">
        <w:rPr>
          <w:sz w:val="24"/>
          <w:szCs w:val="24"/>
        </w:rPr>
        <w:t xml:space="preserve"> 25.509, el que se relacionará con el antecedente </w:t>
      </w:r>
      <w:proofErr w:type="spellStart"/>
      <w:r w:rsidRPr="009959C2">
        <w:rPr>
          <w:sz w:val="24"/>
          <w:szCs w:val="24"/>
        </w:rPr>
        <w:t>dominial</w:t>
      </w:r>
      <w:proofErr w:type="spellEnd"/>
      <w:r w:rsidRPr="009959C2">
        <w:rPr>
          <w:sz w:val="24"/>
          <w:szCs w:val="24"/>
        </w:rPr>
        <w:t>.</w:t>
      </w:r>
    </w:p>
    <w:p w:rsidR="002A0BCC" w:rsidRPr="009959C2" w:rsidRDefault="002A0BCC" w:rsidP="002A0BCC">
      <w:pPr>
        <w:numPr>
          <w:ilvl w:val="0"/>
          <w:numId w:val="2"/>
        </w:numPr>
        <w:ind w:right="51"/>
        <w:jc w:val="both"/>
        <w:rPr>
          <w:sz w:val="24"/>
          <w:szCs w:val="24"/>
        </w:rPr>
      </w:pPr>
      <w:r w:rsidRPr="009959C2">
        <w:rPr>
          <w:sz w:val="24"/>
          <w:szCs w:val="24"/>
        </w:rPr>
        <w:t xml:space="preserve">En caso de extinción del derecho real de superficie forestal, por cualquiera de las causales previstas en la ley, se dejará constancia en el rubro “cancelaciones” del folio real confeccionado al efecto (artículo 5 2º párrafo Ley 25.509) y por ello producirá el cierre definitivo del “folio real forestal”. Dicha cancelación se registrará asimismo en el folio de inscripción </w:t>
      </w:r>
      <w:proofErr w:type="spellStart"/>
      <w:r w:rsidRPr="009959C2">
        <w:rPr>
          <w:sz w:val="24"/>
          <w:szCs w:val="24"/>
        </w:rPr>
        <w:t>dominial</w:t>
      </w:r>
      <w:proofErr w:type="spellEnd"/>
      <w:r w:rsidRPr="009959C2">
        <w:rPr>
          <w:sz w:val="24"/>
          <w:szCs w:val="24"/>
        </w:rPr>
        <w:t xml:space="preserve"> antecedente, lo que se consolidará el derecho de dominio en el titular registral.</w:t>
      </w:r>
    </w:p>
    <w:p w:rsidR="002A0BCC" w:rsidRPr="009959C2" w:rsidRDefault="002A0BCC" w:rsidP="002A0BCC">
      <w:pPr>
        <w:numPr>
          <w:ilvl w:val="0"/>
          <w:numId w:val="2"/>
        </w:numPr>
        <w:ind w:right="51"/>
        <w:jc w:val="both"/>
        <w:rPr>
          <w:sz w:val="24"/>
          <w:szCs w:val="24"/>
        </w:rPr>
      </w:pPr>
      <w:r w:rsidRPr="009959C2">
        <w:rPr>
          <w:sz w:val="24"/>
          <w:szCs w:val="24"/>
        </w:rPr>
        <w:t>En punto a la extinción prevista en la ley, para su toma de razón es menester que exista un documento inscribible del cual resulte la causa que produce la extinción, a excepción del cumplimiento del plazo legal o contractual pactado, debidamente publicitado.</w:t>
      </w:r>
    </w:p>
    <w:p w:rsidR="002A0BCC" w:rsidRPr="009959C2" w:rsidRDefault="002A0BCC" w:rsidP="002A0BCC">
      <w:pPr>
        <w:numPr>
          <w:ilvl w:val="0"/>
          <w:numId w:val="2"/>
        </w:numPr>
        <w:ind w:right="51"/>
        <w:jc w:val="both"/>
        <w:rPr>
          <w:sz w:val="24"/>
          <w:szCs w:val="24"/>
        </w:rPr>
      </w:pPr>
      <w:r w:rsidRPr="009959C2">
        <w:rPr>
          <w:sz w:val="24"/>
          <w:szCs w:val="24"/>
        </w:rPr>
        <w:t>Conforme ha sido instituido el “derecho real de superficie forestal” no se puede admitir otras especies de destino que la “forestación o la silvicultura”  (artículo 1 Ley 25.509).</w:t>
      </w:r>
    </w:p>
    <w:p w:rsidR="002A0BCC" w:rsidRPr="009959C2" w:rsidRDefault="002A0BCC" w:rsidP="002A0BCC">
      <w:pPr>
        <w:pStyle w:val="Ttulo2"/>
        <w:numPr>
          <w:ilvl w:val="0"/>
          <w:numId w:val="2"/>
        </w:numPr>
        <w:rPr>
          <w:szCs w:val="24"/>
        </w:rPr>
      </w:pPr>
      <w:r w:rsidRPr="009959C2">
        <w:rPr>
          <w:szCs w:val="24"/>
        </w:rPr>
        <w:t xml:space="preserve">Publíquese en Boletín Oficial. </w:t>
      </w:r>
    </w:p>
    <w:p w:rsidR="002A0BCC" w:rsidRPr="009959C2" w:rsidRDefault="002A0BCC" w:rsidP="002A0BCC">
      <w:pPr>
        <w:pStyle w:val="Ttulo2"/>
        <w:numPr>
          <w:ilvl w:val="0"/>
          <w:numId w:val="2"/>
        </w:numPr>
        <w:rPr>
          <w:szCs w:val="24"/>
        </w:rPr>
      </w:pPr>
      <w:r w:rsidRPr="009959C2">
        <w:rPr>
          <w:szCs w:val="24"/>
        </w:rPr>
        <w:t>Notifíquese, regístrese y hágase saber, cumplido, archívese.</w:t>
      </w:r>
    </w:p>
    <w:p w:rsidR="002A0BCC" w:rsidRPr="009959C2" w:rsidRDefault="002A0BCC" w:rsidP="002A0BCC">
      <w:pPr>
        <w:ind w:right="51"/>
        <w:jc w:val="both"/>
        <w:rPr>
          <w:sz w:val="16"/>
          <w:szCs w:val="16"/>
        </w:rPr>
      </w:pPr>
    </w:p>
    <w:p w:rsidR="0060780D" w:rsidRDefault="0060780D" w:rsidP="002A0BCC">
      <w:pPr>
        <w:rPr>
          <w:b/>
          <w:sz w:val="24"/>
          <w:szCs w:val="24"/>
          <w:u w:val="single"/>
        </w:rPr>
      </w:pPr>
    </w:p>
    <w:p w:rsidR="0060780D" w:rsidRDefault="0060780D" w:rsidP="002A0BCC">
      <w:pPr>
        <w:rPr>
          <w:b/>
          <w:sz w:val="24"/>
          <w:szCs w:val="24"/>
          <w:u w:val="single"/>
        </w:rPr>
      </w:pPr>
    </w:p>
    <w:p w:rsidR="002A0BCC" w:rsidRPr="009959C2" w:rsidRDefault="002A0BCC" w:rsidP="002A0BCC">
      <w:pPr>
        <w:rPr>
          <w:b/>
          <w:sz w:val="24"/>
          <w:szCs w:val="24"/>
          <w:u w:val="single"/>
        </w:rPr>
      </w:pPr>
      <w:r w:rsidRPr="009959C2">
        <w:rPr>
          <w:b/>
          <w:sz w:val="24"/>
          <w:szCs w:val="24"/>
          <w:u w:val="single"/>
        </w:rPr>
        <w:lastRenderedPageBreak/>
        <w:t>DISPOSICIÓN TECNICA REGISTRAL Nº10/2014.</w:t>
      </w:r>
    </w:p>
    <w:p w:rsidR="00A979B6" w:rsidRDefault="00055B7C"/>
    <w:p w:rsidR="0060780D" w:rsidRDefault="0060780D" w:rsidP="0060780D">
      <w:pPr>
        <w:ind w:left="3828"/>
        <w:jc w:val="center"/>
      </w:pPr>
      <w:r>
        <w:t>LILIA NOEMI DIEZ</w:t>
      </w:r>
    </w:p>
    <w:p w:rsidR="0060780D" w:rsidRDefault="0060780D" w:rsidP="0060780D">
      <w:pPr>
        <w:ind w:left="3828"/>
        <w:jc w:val="center"/>
      </w:pPr>
      <w:r>
        <w:t>ABOGADA-ESCRIBANA</w:t>
      </w:r>
    </w:p>
    <w:p w:rsidR="0060780D" w:rsidRDefault="0060780D" w:rsidP="0060780D">
      <w:pPr>
        <w:ind w:left="3828"/>
        <w:jc w:val="center"/>
      </w:pPr>
      <w:r>
        <w:t>DIRECTORA</w:t>
      </w:r>
    </w:p>
    <w:p w:rsidR="0060780D" w:rsidRDefault="0060780D" w:rsidP="0060780D">
      <w:pPr>
        <w:ind w:left="3828"/>
        <w:jc w:val="center"/>
      </w:pPr>
      <w:r>
        <w:t>REGISTRO DE LA PROPIEDAD INMUEBLE</w:t>
      </w:r>
    </w:p>
    <w:p w:rsidR="0060780D" w:rsidRDefault="0060780D" w:rsidP="0060780D">
      <w:pPr>
        <w:jc w:val="center"/>
      </w:pPr>
    </w:p>
    <w:p w:rsidR="0060780D" w:rsidRDefault="0060780D"/>
    <w:p w:rsidR="0060780D" w:rsidRDefault="0060780D" w:rsidP="0060780D">
      <w:pPr>
        <w:jc w:val="center"/>
      </w:pPr>
    </w:p>
    <w:sectPr w:rsidR="0060780D" w:rsidSect="002A0BC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2CE"/>
    <w:multiLevelType w:val="singleLevel"/>
    <w:tmpl w:val="1FC65FD6"/>
    <w:lvl w:ilvl="0">
      <w:start w:val="1"/>
      <w:numFmt w:val="decimal"/>
      <w:pStyle w:val="Ttulo2"/>
      <w:lvlText w:val="Art. %1."/>
      <w:lvlJc w:val="left"/>
      <w:pPr>
        <w:tabs>
          <w:tab w:val="num" w:pos="720"/>
        </w:tabs>
        <w:ind w:left="360" w:hanging="360"/>
      </w:pPr>
      <w:rPr>
        <w:b/>
        <w:i w:val="0"/>
        <w:sz w:val="24"/>
      </w:rPr>
    </w:lvl>
  </w:abstractNum>
  <w:abstractNum w:abstractNumId="1">
    <w:nsid w:val="59235769"/>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compat/>
  <w:rsids>
    <w:rsidRoot w:val="002A0BCC"/>
    <w:rsid w:val="00027BF1"/>
    <w:rsid w:val="00055B7C"/>
    <w:rsid w:val="001A7899"/>
    <w:rsid w:val="002A0BCC"/>
    <w:rsid w:val="00324051"/>
    <w:rsid w:val="004B4E94"/>
    <w:rsid w:val="0060780D"/>
    <w:rsid w:val="00A748E4"/>
    <w:rsid w:val="00E214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C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A0BCC"/>
    <w:pPr>
      <w:keepNext/>
      <w:ind w:firstLine="1985"/>
      <w:jc w:val="both"/>
      <w:outlineLvl w:val="0"/>
    </w:pPr>
    <w:rPr>
      <w:sz w:val="24"/>
    </w:rPr>
  </w:style>
  <w:style w:type="paragraph" w:styleId="Ttulo2">
    <w:name w:val="heading 2"/>
    <w:basedOn w:val="Normal"/>
    <w:next w:val="Normal"/>
    <w:link w:val="Ttulo2Car"/>
    <w:qFormat/>
    <w:rsid w:val="002A0BCC"/>
    <w:pPr>
      <w:keepNext/>
      <w:numPr>
        <w:numId w:val="1"/>
      </w:numPr>
      <w:ind w:right="51"/>
      <w:jc w:val="both"/>
      <w:outlineLvl w:val="1"/>
    </w:pPr>
    <w:rPr>
      <w:sz w:val="24"/>
    </w:rPr>
  </w:style>
  <w:style w:type="paragraph" w:styleId="Ttulo5">
    <w:name w:val="heading 5"/>
    <w:basedOn w:val="Normal"/>
    <w:next w:val="Normal"/>
    <w:link w:val="Ttulo5Car"/>
    <w:qFormat/>
    <w:rsid w:val="002A0BCC"/>
    <w:pPr>
      <w:keepNext/>
      <w:ind w:right="51"/>
      <w:jc w:val="both"/>
      <w:outlineLvl w:val="4"/>
    </w:pPr>
    <w:rPr>
      <w:sz w:val="24"/>
    </w:rPr>
  </w:style>
  <w:style w:type="paragraph" w:styleId="Ttulo6">
    <w:name w:val="heading 6"/>
    <w:basedOn w:val="Normal"/>
    <w:next w:val="Normal"/>
    <w:link w:val="Ttulo6Car"/>
    <w:qFormat/>
    <w:rsid w:val="002A0BCC"/>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0BCC"/>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2A0BCC"/>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rsid w:val="002A0BCC"/>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2A0BCC"/>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2A0BCC"/>
    <w:pPr>
      <w:ind w:right="51" w:firstLine="1985"/>
      <w:jc w:val="both"/>
    </w:pPr>
    <w:rPr>
      <w:sz w:val="24"/>
    </w:rPr>
  </w:style>
  <w:style w:type="character" w:customStyle="1" w:styleId="Sangra2detindependienteCar">
    <w:name w:val="Sangría 2 de t. independiente Car"/>
    <w:basedOn w:val="Fuentedeprrafopredeter"/>
    <w:link w:val="Sangra2detindependiente"/>
    <w:rsid w:val="002A0BCC"/>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4310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2913</Characters>
  <Application>Microsoft Office Word</Application>
  <DocSecurity>0</DocSecurity>
  <Lines>24</Lines>
  <Paragraphs>6</Paragraphs>
  <ScaleCrop>false</ScaleCrop>
  <Company>windows</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3</cp:revision>
  <dcterms:created xsi:type="dcterms:W3CDTF">2015-04-07T16:31:00Z</dcterms:created>
  <dcterms:modified xsi:type="dcterms:W3CDTF">2015-10-27T11:00:00Z</dcterms:modified>
</cp:coreProperties>
</file>