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E6" w:rsidRDefault="000C6FD8" w:rsidP="00E862C2">
      <w:pPr>
        <w:pStyle w:val="Ttulo4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18pt;width:37.9pt;height:56pt;z-index:251658240">
            <v:imagedata r:id="rId5" o:title=""/>
            <w10:wrap type="topAndBottom"/>
          </v:shape>
          <o:OLEObject Type="Embed" ProgID="PBrush" ShapeID="_x0000_s1026" DrawAspect="Content" ObjectID="_1507440443" r:id="rId6"/>
        </w:pict>
      </w:r>
      <w:r w:rsidR="003159E6">
        <w:t>PROVINCIA del CHACO</w:t>
      </w:r>
    </w:p>
    <w:p w:rsidR="003159E6" w:rsidRDefault="003159E6" w:rsidP="00E862C2">
      <w:pPr>
        <w:pStyle w:val="Ttulo6"/>
        <w:ind w:right="5958" w:hanging="551"/>
      </w:pPr>
      <w:r>
        <w:t>Min</w:t>
      </w:r>
      <w:r w:rsidR="00E862C2">
        <w:t>isterio de Gobierno, Justicia y      Seguridad</w:t>
      </w:r>
    </w:p>
    <w:p w:rsidR="003159E6" w:rsidRDefault="003159E6" w:rsidP="00E862C2">
      <w:pPr>
        <w:pStyle w:val="Ttulo1"/>
        <w:ind w:left="-709" w:right="5958" w:hanging="567"/>
        <w:jc w:val="left"/>
      </w:pPr>
      <w:r>
        <w:rPr>
          <w:rFonts w:ascii="Arial Black" w:hAnsi="Arial Black"/>
          <w:b/>
          <w:i/>
          <w:sz w:val="16"/>
        </w:rPr>
        <w:t xml:space="preserve">Registro de </w:t>
      </w:r>
      <w:smartTag w:uri="urn:schemas-microsoft-com:office:smarttags" w:element="PersonName">
        <w:smartTagPr>
          <w:attr w:name="ProductID" w:val="la Propiedad Inmueble"/>
        </w:smartTagPr>
        <w:r>
          <w:rPr>
            <w:rFonts w:ascii="Arial Black" w:hAnsi="Arial Black"/>
            <w:b/>
            <w:i/>
            <w:sz w:val="16"/>
          </w:rPr>
          <w:t>la Propiedad Inmueble</w:t>
        </w:r>
      </w:smartTag>
    </w:p>
    <w:p w:rsidR="003159E6" w:rsidRDefault="003159E6" w:rsidP="00E862C2">
      <w:pPr>
        <w:pStyle w:val="Ttulo1"/>
        <w:ind w:left="-709" w:right="5958" w:hanging="551"/>
        <w:jc w:val="left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Av. Las Heras y Juan B. Justo</w:t>
      </w:r>
    </w:p>
    <w:p w:rsidR="003159E6" w:rsidRDefault="003159E6" w:rsidP="00E862C2">
      <w:pPr>
        <w:pStyle w:val="Ttulo1"/>
        <w:ind w:left="-709" w:right="5958" w:hanging="551"/>
        <w:jc w:val="left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Resistencia – T.E.Nº03722–423266</w:t>
      </w:r>
    </w:p>
    <w:p w:rsidR="003159E6" w:rsidRDefault="003159E6" w:rsidP="000B740D">
      <w:pPr>
        <w:ind w:right="51"/>
        <w:jc w:val="center"/>
        <w:rPr>
          <w:sz w:val="22"/>
          <w:szCs w:val="22"/>
        </w:rPr>
      </w:pPr>
      <w:r>
        <w:rPr>
          <w:i/>
          <w:iCs/>
          <w:sz w:val="22"/>
          <w:szCs w:val="22"/>
        </w:rPr>
        <w:t>2013 – 30 Años de la Recuperación de la Democracia.-</w:t>
      </w:r>
    </w:p>
    <w:p w:rsidR="003159E6" w:rsidRDefault="003159E6" w:rsidP="000B740D">
      <w:pPr>
        <w:ind w:right="51"/>
        <w:jc w:val="right"/>
      </w:pPr>
      <w:r>
        <w:t>Resistencia,  01 de julio de 2013.</w:t>
      </w:r>
    </w:p>
    <w:p w:rsidR="003159E6" w:rsidRDefault="003159E6" w:rsidP="00A51DCF">
      <w:pPr>
        <w:ind w:right="51"/>
        <w:jc w:val="both"/>
      </w:pPr>
    </w:p>
    <w:p w:rsidR="003159E6" w:rsidRDefault="003159E6" w:rsidP="00A51DCF">
      <w:pPr>
        <w:jc w:val="both"/>
        <w:rPr>
          <w:b/>
          <w:bCs/>
          <w:u w:val="single"/>
        </w:rPr>
      </w:pPr>
      <w:r>
        <w:rPr>
          <w:rStyle w:val="cuerpo1"/>
          <w:rFonts w:ascii="Times New Roman" w:hAnsi="Times New Roman" w:cs="Times New Roman"/>
          <w:b/>
          <w:bCs/>
          <w:sz w:val="24"/>
          <w:szCs w:val="24"/>
          <w:u w:val="single"/>
        </w:rPr>
        <w:t>VISTO:</w:t>
      </w:r>
    </w:p>
    <w:p w:rsidR="003159E6" w:rsidRDefault="003159E6" w:rsidP="00A51DCF">
      <w:pPr>
        <w:pStyle w:val="Sangradetextonormal"/>
        <w:ind w:firstLine="1979"/>
        <w:jc w:val="both"/>
        <w:rPr>
          <w:rStyle w:val="cuerpo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cuerpo1"/>
          <w:rFonts w:ascii="Times New Roman" w:hAnsi="Times New Roman" w:cs="Times New Roman"/>
          <w:sz w:val="24"/>
          <w:szCs w:val="24"/>
        </w:rPr>
        <w:t>Las observaciones registrales que requieren el conocimiento y aceptación de la situación registral por el adquirente, y</w:t>
      </w:r>
    </w:p>
    <w:p w:rsidR="003159E6" w:rsidRDefault="003159E6" w:rsidP="00A51DCF">
      <w:pPr>
        <w:jc w:val="both"/>
        <w:rPr>
          <w:rStyle w:val="cuerpo1"/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cuerpo1"/>
          <w:rFonts w:ascii="Times New Roman" w:hAnsi="Times New Roman" w:cs="Times New Roman"/>
          <w:b/>
          <w:bCs/>
          <w:sz w:val="24"/>
          <w:szCs w:val="24"/>
          <w:u w:val="single"/>
        </w:rPr>
        <w:t>CONSIDERANDO:</w:t>
      </w:r>
    </w:p>
    <w:p w:rsidR="003159E6" w:rsidRDefault="003159E6" w:rsidP="00A51DCF">
      <w:pPr>
        <w:ind w:firstLine="1980"/>
        <w:jc w:val="both"/>
      </w:pPr>
      <w:r>
        <w:t>Que cuando se realice una transferencia dominial y los derechos inscriptos estuvieren afectados por algún gravamen o medida precautoria, y no se cuente con un oficio de cancelación, que allane la inscripción del título, el registrador exige una actividad especial para por parte del adquirente para poder acceder a la inscripción definitiva;</w:t>
      </w:r>
    </w:p>
    <w:p w:rsidR="003159E6" w:rsidRDefault="003159E6" w:rsidP="00A51DCF">
      <w:pPr>
        <w:ind w:firstLine="1980"/>
        <w:jc w:val="both"/>
      </w:pPr>
      <w:r>
        <w:t>La conducta exigida deviene en una manifestación, contenida en el cuerpo de la Escritura que puede consentir en alguna de las siguientes opciones:</w:t>
      </w:r>
    </w:p>
    <w:p w:rsidR="003159E6" w:rsidRDefault="00CC3E1A" w:rsidP="00A51DCF">
      <w:pPr>
        <w:jc w:val="both"/>
      </w:pPr>
      <w:r>
        <w:tab/>
      </w:r>
      <w:r>
        <w:tab/>
        <w:t xml:space="preserve">          a) Tomar</w:t>
      </w:r>
      <w:r w:rsidR="003159E6">
        <w:t xml:space="preserve"> a cargo la obligación que consiste en mantener la inscripción del gravamen;</w:t>
      </w:r>
    </w:p>
    <w:p w:rsidR="00EC4334" w:rsidRDefault="00CC3E1A" w:rsidP="00A51DCF">
      <w:pPr>
        <w:jc w:val="both"/>
      </w:pPr>
      <w:r>
        <w:t xml:space="preserve">                                 b) Consentir</w:t>
      </w:r>
      <w:r w:rsidR="003159E6">
        <w:t xml:space="preserve"> la vigencia del gravamen al solo efecto </w:t>
      </w:r>
      <w:r w:rsidR="00EC4334">
        <w:t>de las resultas de la obligación o del juicio, sin hacerse personalmente responsable del gravamen;</w:t>
      </w:r>
    </w:p>
    <w:p w:rsidR="00EC4334" w:rsidRDefault="00CC3E1A" w:rsidP="00A51DCF">
      <w:pPr>
        <w:jc w:val="both"/>
      </w:pPr>
      <w:r>
        <w:t xml:space="preserve">                                 c) Tomar</w:t>
      </w:r>
      <w:r w:rsidR="00EC4334">
        <w:t xml:space="preserve"> a su cargo el gravamen al solo efecto registral;</w:t>
      </w:r>
    </w:p>
    <w:p w:rsidR="00EC4334" w:rsidRDefault="00CC3E1A" w:rsidP="00A51DCF">
      <w:pPr>
        <w:jc w:val="both"/>
      </w:pPr>
      <w:r>
        <w:t xml:space="preserve">                                 </w:t>
      </w:r>
      <w:r w:rsidR="00EC4334">
        <w:t>Entendemos incorrecta esta imposición del registrador por los siguientes fundamentos:</w:t>
      </w:r>
    </w:p>
    <w:p w:rsidR="009C3874" w:rsidRDefault="00CC3E1A" w:rsidP="00A51DCF">
      <w:pPr>
        <w:jc w:val="both"/>
      </w:pPr>
      <w:r>
        <w:t xml:space="preserve">                                 1) </w:t>
      </w:r>
      <w:r w:rsidR="00EC4334">
        <w:t>Porque el gravamen preinscripto ya ganó prioridad y está en mejor situación jurídica que otras pretensiones que ingresen ulteriormente al Registro, no necesitándose para su mantenimiento registral de ningún “consentimiento” del nuevo titular;</w:t>
      </w:r>
    </w:p>
    <w:p w:rsidR="009C3874" w:rsidRDefault="00CC3E1A" w:rsidP="00A51DCF">
      <w:pPr>
        <w:jc w:val="both"/>
      </w:pPr>
      <w:r>
        <w:t xml:space="preserve">                                 2) </w:t>
      </w:r>
      <w:r w:rsidR="009C3874">
        <w:t>Porque esencialmente no es necesaria la aceptación del adquirente para la continuidad o eficiencia del gravamen preinscripto, ya que no puede adquirirse un derecho mejor o más extenso del que tiene quien transmite (Art. 3270 Código Civil);</w:t>
      </w:r>
    </w:p>
    <w:p w:rsidR="009C3874" w:rsidRDefault="00CC3E1A" w:rsidP="00A51DCF">
      <w:pPr>
        <w:jc w:val="both"/>
      </w:pPr>
      <w:r>
        <w:t xml:space="preserve">                                 3) </w:t>
      </w:r>
      <w:r w:rsidR="009C3874">
        <w:t>Porque la situación registral del inmueble es efectivamente conocida por el adquirente en tanto en el mismo cuerpo de la escritura se trasladaron las constancias del certificado registral (Art. 23-última parte- Ley 17.801);</w:t>
      </w:r>
    </w:p>
    <w:p w:rsidR="009C3874" w:rsidRDefault="00CC3E1A" w:rsidP="00A51DCF">
      <w:pPr>
        <w:jc w:val="both"/>
      </w:pPr>
      <w:r>
        <w:t xml:space="preserve">                                 4) </w:t>
      </w:r>
      <w:r w:rsidR="009C3874">
        <w:t>Porque en la Ley 17.801 no se exige esta conducta, tampoco en el Decreto 306/69, y según la Ley Nacional Registral en su art. 2 y en art. 2.505 del Código Civil, con la publicidad registral se logra oponibilidad frente a todos;</w:t>
      </w:r>
    </w:p>
    <w:p w:rsidR="0065162C" w:rsidRDefault="009C3874" w:rsidP="00A51DCF">
      <w:pPr>
        <w:ind w:firstLine="1985"/>
        <w:jc w:val="both"/>
      </w:pPr>
      <w:r>
        <w:t>Entendemos entonces que la cuesti</w:t>
      </w:r>
      <w:r w:rsidR="0065162C">
        <w:t xml:space="preserve">ón queda resuelta con el simple </w:t>
      </w:r>
      <w:r>
        <w:t xml:space="preserve">conocimiento de la situación registral por parte del adquirente, quien no puede alegar ignorancia del gravamen, según así lo prevé el art. 23 de la Ley </w:t>
      </w:r>
      <w:r w:rsidR="0065162C">
        <w:t xml:space="preserve">17.801 cuando dispone “Los documentos que se otorguen deberán consignar el número, fecha y constancias que resulten de la certificación; </w:t>
      </w:r>
    </w:p>
    <w:p w:rsidR="0065162C" w:rsidRDefault="0065162C" w:rsidP="00A51DCF">
      <w:pPr>
        <w:jc w:val="both"/>
      </w:pPr>
      <w:r>
        <w:t xml:space="preserve">En consecuencia, tanto el adquirente del dominio como cualquier otra persona que resulte titular de otro derecho real sobre la cosa, conocerá el estado registral del </w:t>
      </w:r>
      <w:r>
        <w:lastRenderedPageBreak/>
        <w:t>inmueble, y por ende el estado o eficiencia del derecho que se le constituye o se le transmita;</w:t>
      </w:r>
    </w:p>
    <w:p w:rsidR="0065162C" w:rsidRDefault="00827A83" w:rsidP="00A51DCF">
      <w:pPr>
        <w:ind w:firstLine="1979"/>
        <w:jc w:val="both"/>
      </w:pPr>
      <w:r>
        <w:t xml:space="preserve"> </w:t>
      </w:r>
      <w:r w:rsidR="0065162C">
        <w:t>Por otra parte:</w:t>
      </w:r>
    </w:p>
    <w:p w:rsidR="00CC3E1A" w:rsidRDefault="00827A83" w:rsidP="00A51DCF">
      <w:pPr>
        <w:jc w:val="both"/>
      </w:pPr>
      <w:r>
        <w:t xml:space="preserve">                                 1) </w:t>
      </w:r>
      <w:r w:rsidR="0065162C">
        <w:t>El registrador no puede imponer más requisitos que los fijados en la Ley 17.801 y el Decreto 306/6</w:t>
      </w:r>
      <w:r w:rsidR="00CC3E1A">
        <w:t>9 promoviendo la realización de una “actividad especial” por el adquirente;</w:t>
      </w:r>
    </w:p>
    <w:p w:rsidR="00CC3E1A" w:rsidRDefault="00827A83" w:rsidP="00A51DCF">
      <w:pPr>
        <w:jc w:val="both"/>
      </w:pPr>
      <w:r>
        <w:t xml:space="preserve">                                 2)</w:t>
      </w:r>
      <w:r w:rsidR="00CC3E1A">
        <w:t>El registrador no puede invadir el plano negocial, pretendiendo determinar “cómo” deben contratar las partes y cómo “deben” asumir sus obligaciones contractuales, estas cuestiones son propias del derecho de fondo y no pueden ser resueltas por el registrador, fundamentalmente cuando se afecta el principio de la autonomía de la voluntad;</w:t>
      </w:r>
    </w:p>
    <w:p w:rsidR="00827A83" w:rsidRDefault="00827A83" w:rsidP="00A51DCF">
      <w:pPr>
        <w:jc w:val="both"/>
      </w:pPr>
      <w:r>
        <w:t xml:space="preserve">                  </w:t>
      </w:r>
    </w:p>
    <w:p w:rsidR="0065162C" w:rsidRDefault="00827A83" w:rsidP="00A51DCF">
      <w:pPr>
        <w:ind w:firstLine="1979"/>
        <w:jc w:val="both"/>
      </w:pPr>
      <w:r>
        <w:t>3) Esta “actividad especial” – como hemos acordado en llamarla- puede solucionarse de acuerdo con las posibilidades que las partes acuerden en el plano estrictamente negocial, y el registrador no puede intervenir en ese aspecto, porque en las atribuciones conferidas por los arts. 8 y 9 de la Ley 17.801, no se comprende este requisito;</w:t>
      </w:r>
    </w:p>
    <w:p w:rsidR="00827A83" w:rsidRDefault="00827A83" w:rsidP="00A51DCF">
      <w:pPr>
        <w:ind w:firstLine="1979"/>
        <w:jc w:val="both"/>
      </w:pPr>
      <w:r>
        <w:t xml:space="preserve">4) Porque en la hipótesis de “tomar a cargo” se dispone que la actividad del adquirente debe consistir justamente en tomar a su cargo la “obligación”, y esto podría entenderse en el sentido de asumir la obligación </w:t>
      </w:r>
      <w:r w:rsidR="00FB662C">
        <w:t xml:space="preserve">que dio lugar a la acción judicial donde se decretó la medida cautelar, pero ello no necesariamente tiene que ser así. El adquirente podría tomar a su cargo el pago del monto del gravamen y no el valor de la obligación que ocasionó el gravamen, siendo esta última opción la respuesta habitual de los adquirentes. Esta última salida tiene una explicación lógica: el adquirente solo asume el pago de las deudas que recaen sobre la cosa pero no las deudas personales de su transmitente salvo situaciones excepcionales. </w:t>
      </w:r>
    </w:p>
    <w:p w:rsidR="00FB662C" w:rsidRDefault="00FB662C" w:rsidP="00A51DCF">
      <w:pPr>
        <w:ind w:firstLine="1979"/>
        <w:jc w:val="both"/>
      </w:pPr>
      <w:r>
        <w:t xml:space="preserve">5) A los fines de la publicidad registral es intrascendente si el adquirente toma a su cargo el gravamen o la obligación o la toma hasta cierto monto, porque esta particularidad no será publicitada, ya que los aspectos obligacionales no constituyen materia registrable; </w:t>
      </w:r>
    </w:p>
    <w:p w:rsidR="00FB662C" w:rsidRDefault="00FB662C" w:rsidP="00A51DCF">
      <w:pPr>
        <w:ind w:firstLine="1979"/>
        <w:jc w:val="both"/>
      </w:pPr>
      <w:r>
        <w:t>Esta observación del registrador se realiza tanto para los actos autorizados con certificado registral vigente como para aquellos que no la utilizaron y también para los casos que hubiere vencido la inscripción provisional y al reingresar el documento al</w:t>
      </w:r>
      <w:r w:rsidR="00424AFB">
        <w:t xml:space="preserve"> Registro ya se hubiere anotado una medida cautelar con anterioridad, observación que reiteramos no corresponde realizar;</w:t>
      </w:r>
    </w:p>
    <w:p w:rsidR="003159E6" w:rsidRDefault="00424AFB" w:rsidP="000B740D">
      <w:pPr>
        <w:ind w:firstLine="1979"/>
        <w:jc w:val="both"/>
      </w:pPr>
      <w:r>
        <w:t>Que conforme al artículo 36 inciso c) y f) del Decreto Nº 306/69;</w:t>
      </w:r>
    </w:p>
    <w:p w:rsidR="003159E6" w:rsidRDefault="003159E6" w:rsidP="000B740D">
      <w:pPr>
        <w:jc w:val="center"/>
      </w:pPr>
      <w:r>
        <w:rPr>
          <w:rStyle w:val="cuerpo1"/>
          <w:rFonts w:ascii="Times New Roman" w:hAnsi="Times New Roman" w:cs="Times New Roman"/>
          <w:b/>
          <w:bCs/>
          <w:sz w:val="24"/>
          <w:szCs w:val="24"/>
        </w:rPr>
        <w:t>LA DIRECTORA DEL REGISTRO DE LA PROPIEDAD INMUEBLE</w:t>
      </w:r>
    </w:p>
    <w:p w:rsidR="003159E6" w:rsidRDefault="003159E6" w:rsidP="000B740D">
      <w:pPr>
        <w:pStyle w:val="Ttulo1"/>
        <w:ind w:firstLine="0"/>
        <w:jc w:val="center"/>
        <w:rPr>
          <w:rStyle w:val="cuerpo1"/>
          <w:rFonts w:ascii="Times New Roman" w:hAnsi="Times New Roman" w:cs="Times New Roman"/>
          <w:sz w:val="24"/>
          <w:szCs w:val="24"/>
          <w:u w:val="single"/>
        </w:rPr>
      </w:pPr>
      <w:r>
        <w:rPr>
          <w:rStyle w:val="cuerpo1"/>
          <w:rFonts w:ascii="Times New Roman" w:hAnsi="Times New Roman" w:cs="Times New Roman"/>
          <w:b/>
          <w:bCs/>
          <w:sz w:val="24"/>
          <w:szCs w:val="24"/>
          <w:u w:val="single"/>
        </w:rPr>
        <w:t>D I S P O N E</w:t>
      </w:r>
    </w:p>
    <w:p w:rsidR="003159E6" w:rsidRDefault="003159E6" w:rsidP="00A51DCF">
      <w:pPr>
        <w:jc w:val="both"/>
      </w:pPr>
    </w:p>
    <w:p w:rsidR="003159E6" w:rsidRDefault="00424AFB" w:rsidP="00A51DCF">
      <w:pPr>
        <w:numPr>
          <w:ilvl w:val="0"/>
          <w:numId w:val="1"/>
        </w:numPr>
        <w:jc w:val="both"/>
      </w:pPr>
      <w:r>
        <w:t>A partir del 1 de Julio de 2013 el registrador no observará el documento ni requerirá el conocimiento y aceptación de la situación registral por parte del adquirente</w:t>
      </w:r>
      <w:r w:rsidR="003159E6">
        <w:t xml:space="preserve">. </w:t>
      </w:r>
    </w:p>
    <w:p w:rsidR="003159E6" w:rsidRDefault="00424AFB" w:rsidP="00A51DCF">
      <w:pPr>
        <w:numPr>
          <w:ilvl w:val="0"/>
          <w:numId w:val="1"/>
        </w:numPr>
        <w:jc w:val="both"/>
      </w:pPr>
      <w:r>
        <w:t>Notifíquese, regístrese y hágase saber, cumplido, archívese.</w:t>
      </w:r>
    </w:p>
    <w:p w:rsidR="003159E6" w:rsidRDefault="003159E6" w:rsidP="00A51DCF">
      <w:pPr>
        <w:pStyle w:val="Ttulo7"/>
        <w:rPr>
          <w:sz w:val="22"/>
        </w:rPr>
      </w:pPr>
    </w:p>
    <w:p w:rsidR="003159E6" w:rsidRDefault="003159E6" w:rsidP="00A51DCF">
      <w:pPr>
        <w:pStyle w:val="Ttulo7"/>
        <w:rPr>
          <w:sz w:val="22"/>
        </w:rPr>
      </w:pPr>
      <w:r>
        <w:rPr>
          <w:sz w:val="22"/>
        </w:rPr>
        <w:t>DI</w:t>
      </w:r>
      <w:r w:rsidR="00424AFB">
        <w:rPr>
          <w:sz w:val="22"/>
        </w:rPr>
        <w:t>SPOSICIÓN TÉCNICA REGISTRAL Nº23</w:t>
      </w:r>
      <w:r>
        <w:rPr>
          <w:sz w:val="22"/>
        </w:rPr>
        <w:t>/2013.-</w:t>
      </w:r>
    </w:p>
    <w:p w:rsidR="003159E6" w:rsidRDefault="003159E6" w:rsidP="00A51DCF">
      <w:pPr>
        <w:ind w:firstLine="1980"/>
        <w:jc w:val="both"/>
        <w:rPr>
          <w:sz w:val="22"/>
        </w:rPr>
      </w:pPr>
    </w:p>
    <w:p w:rsidR="000B740D" w:rsidRDefault="000B740D" w:rsidP="000B740D">
      <w:pPr>
        <w:ind w:left="3828"/>
        <w:jc w:val="center"/>
      </w:pPr>
      <w:r>
        <w:t>LILIA NOEMI DIEZ</w:t>
      </w:r>
    </w:p>
    <w:p w:rsidR="000B740D" w:rsidRDefault="000B740D" w:rsidP="000B740D">
      <w:pPr>
        <w:ind w:left="3828"/>
        <w:jc w:val="center"/>
      </w:pPr>
      <w:r>
        <w:t>ABOGADA-ESCRIBANA</w:t>
      </w:r>
    </w:p>
    <w:p w:rsidR="000B740D" w:rsidRDefault="000B740D" w:rsidP="000B740D">
      <w:pPr>
        <w:ind w:left="3828"/>
        <w:jc w:val="center"/>
      </w:pPr>
      <w:r>
        <w:t>DIRECTORA</w:t>
      </w:r>
    </w:p>
    <w:p w:rsidR="000B740D" w:rsidRDefault="000B740D" w:rsidP="000B740D">
      <w:pPr>
        <w:ind w:left="3828"/>
        <w:jc w:val="center"/>
      </w:pPr>
      <w:r>
        <w:t>REGISTRO DE LA PROPIEDAD INMUEBLE</w:t>
      </w:r>
    </w:p>
    <w:p w:rsidR="000B740D" w:rsidRDefault="000B740D" w:rsidP="000B740D">
      <w:pPr>
        <w:jc w:val="center"/>
      </w:pPr>
    </w:p>
    <w:p w:rsidR="000B740D" w:rsidRDefault="000B740D" w:rsidP="000B740D">
      <w:pPr>
        <w:jc w:val="center"/>
      </w:pPr>
    </w:p>
    <w:p w:rsidR="00F44AC8" w:rsidRDefault="00F44AC8"/>
    <w:sectPr w:rsidR="00F44AC8" w:rsidSect="00F44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D553E"/>
    <w:multiLevelType w:val="hybridMultilevel"/>
    <w:tmpl w:val="F29E3AD2"/>
    <w:lvl w:ilvl="0" w:tplc="A824E6A0">
      <w:start w:val="1"/>
      <w:numFmt w:val="decimal"/>
      <w:lvlText w:val="Art.%1"/>
      <w:lvlJc w:val="right"/>
      <w:pPr>
        <w:tabs>
          <w:tab w:val="num" w:pos="720"/>
        </w:tabs>
        <w:ind w:left="720" w:hanging="360"/>
      </w:pPr>
      <w:rPr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290023"/>
    <w:multiLevelType w:val="hybridMultilevel"/>
    <w:tmpl w:val="8B12B3D4"/>
    <w:lvl w:ilvl="0" w:tplc="0936E20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893005"/>
    <w:multiLevelType w:val="hybridMultilevel"/>
    <w:tmpl w:val="C42E9E06"/>
    <w:lvl w:ilvl="0" w:tplc="0C0A0017">
      <w:start w:val="1"/>
      <w:numFmt w:val="lowerLetter"/>
      <w:lvlText w:val="%1)"/>
      <w:lvlJc w:val="left"/>
      <w:pPr>
        <w:ind w:left="22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71FB6"/>
    <w:multiLevelType w:val="hybridMultilevel"/>
    <w:tmpl w:val="56AC7152"/>
    <w:lvl w:ilvl="0" w:tplc="97647874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>
    <w:nsid w:val="4CC033BE"/>
    <w:multiLevelType w:val="hybridMultilevel"/>
    <w:tmpl w:val="382440DC"/>
    <w:lvl w:ilvl="0" w:tplc="EFBA5FF2">
      <w:start w:val="1"/>
      <w:numFmt w:val="decimal"/>
      <w:lvlText w:val="%1)"/>
      <w:lvlJc w:val="left"/>
      <w:pPr>
        <w:ind w:left="232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45" w:hanging="360"/>
      </w:pPr>
    </w:lvl>
    <w:lvl w:ilvl="2" w:tplc="0C0A001B" w:tentative="1">
      <w:start w:val="1"/>
      <w:numFmt w:val="lowerRoman"/>
      <w:lvlText w:val="%3."/>
      <w:lvlJc w:val="right"/>
      <w:pPr>
        <w:ind w:left="3765" w:hanging="180"/>
      </w:pPr>
    </w:lvl>
    <w:lvl w:ilvl="3" w:tplc="0C0A000F" w:tentative="1">
      <w:start w:val="1"/>
      <w:numFmt w:val="decimal"/>
      <w:lvlText w:val="%4."/>
      <w:lvlJc w:val="left"/>
      <w:pPr>
        <w:ind w:left="4485" w:hanging="360"/>
      </w:pPr>
    </w:lvl>
    <w:lvl w:ilvl="4" w:tplc="0C0A0019" w:tentative="1">
      <w:start w:val="1"/>
      <w:numFmt w:val="lowerLetter"/>
      <w:lvlText w:val="%5."/>
      <w:lvlJc w:val="left"/>
      <w:pPr>
        <w:ind w:left="5205" w:hanging="360"/>
      </w:pPr>
    </w:lvl>
    <w:lvl w:ilvl="5" w:tplc="0C0A001B" w:tentative="1">
      <w:start w:val="1"/>
      <w:numFmt w:val="lowerRoman"/>
      <w:lvlText w:val="%6."/>
      <w:lvlJc w:val="right"/>
      <w:pPr>
        <w:ind w:left="5925" w:hanging="180"/>
      </w:pPr>
    </w:lvl>
    <w:lvl w:ilvl="6" w:tplc="0C0A000F" w:tentative="1">
      <w:start w:val="1"/>
      <w:numFmt w:val="decimal"/>
      <w:lvlText w:val="%7."/>
      <w:lvlJc w:val="left"/>
      <w:pPr>
        <w:ind w:left="6645" w:hanging="360"/>
      </w:pPr>
    </w:lvl>
    <w:lvl w:ilvl="7" w:tplc="0C0A0019" w:tentative="1">
      <w:start w:val="1"/>
      <w:numFmt w:val="lowerLetter"/>
      <w:lvlText w:val="%8."/>
      <w:lvlJc w:val="left"/>
      <w:pPr>
        <w:ind w:left="7365" w:hanging="360"/>
      </w:pPr>
    </w:lvl>
    <w:lvl w:ilvl="8" w:tplc="0C0A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5">
    <w:nsid w:val="5093510C"/>
    <w:multiLevelType w:val="hybridMultilevel"/>
    <w:tmpl w:val="DF94BDFC"/>
    <w:lvl w:ilvl="0" w:tplc="0C0A0017">
      <w:start w:val="1"/>
      <w:numFmt w:val="lowerLetter"/>
      <w:lvlText w:val="%1)"/>
      <w:lvlJc w:val="left"/>
      <w:pPr>
        <w:ind w:left="270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CD05E3"/>
    <w:multiLevelType w:val="hybridMultilevel"/>
    <w:tmpl w:val="70108B20"/>
    <w:lvl w:ilvl="0" w:tplc="73B68582">
      <w:start w:val="1"/>
      <w:numFmt w:val="decimal"/>
      <w:lvlText w:val="%1)"/>
      <w:lvlJc w:val="left"/>
      <w:pPr>
        <w:ind w:left="23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105" w:hanging="360"/>
      </w:pPr>
    </w:lvl>
    <w:lvl w:ilvl="2" w:tplc="0C0A001B" w:tentative="1">
      <w:start w:val="1"/>
      <w:numFmt w:val="lowerRoman"/>
      <w:lvlText w:val="%3."/>
      <w:lvlJc w:val="right"/>
      <w:pPr>
        <w:ind w:left="3825" w:hanging="180"/>
      </w:pPr>
    </w:lvl>
    <w:lvl w:ilvl="3" w:tplc="0C0A000F" w:tentative="1">
      <w:start w:val="1"/>
      <w:numFmt w:val="decimal"/>
      <w:lvlText w:val="%4."/>
      <w:lvlJc w:val="left"/>
      <w:pPr>
        <w:ind w:left="4545" w:hanging="360"/>
      </w:pPr>
    </w:lvl>
    <w:lvl w:ilvl="4" w:tplc="0C0A0019" w:tentative="1">
      <w:start w:val="1"/>
      <w:numFmt w:val="lowerLetter"/>
      <w:lvlText w:val="%5."/>
      <w:lvlJc w:val="left"/>
      <w:pPr>
        <w:ind w:left="5265" w:hanging="360"/>
      </w:pPr>
    </w:lvl>
    <w:lvl w:ilvl="5" w:tplc="0C0A001B" w:tentative="1">
      <w:start w:val="1"/>
      <w:numFmt w:val="lowerRoman"/>
      <w:lvlText w:val="%6."/>
      <w:lvlJc w:val="right"/>
      <w:pPr>
        <w:ind w:left="5985" w:hanging="180"/>
      </w:pPr>
    </w:lvl>
    <w:lvl w:ilvl="6" w:tplc="0C0A000F" w:tentative="1">
      <w:start w:val="1"/>
      <w:numFmt w:val="decimal"/>
      <w:lvlText w:val="%7."/>
      <w:lvlJc w:val="left"/>
      <w:pPr>
        <w:ind w:left="6705" w:hanging="360"/>
      </w:pPr>
    </w:lvl>
    <w:lvl w:ilvl="7" w:tplc="0C0A0019" w:tentative="1">
      <w:start w:val="1"/>
      <w:numFmt w:val="lowerLetter"/>
      <w:lvlText w:val="%8."/>
      <w:lvlJc w:val="left"/>
      <w:pPr>
        <w:ind w:left="7425" w:hanging="360"/>
      </w:pPr>
    </w:lvl>
    <w:lvl w:ilvl="8" w:tplc="0C0A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7">
    <w:nsid w:val="53A52766"/>
    <w:multiLevelType w:val="hybridMultilevel"/>
    <w:tmpl w:val="F71C814C"/>
    <w:lvl w:ilvl="0" w:tplc="39C0D69E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3" w:hanging="360"/>
      </w:pPr>
    </w:lvl>
    <w:lvl w:ilvl="2" w:tplc="0C0A001B" w:tentative="1">
      <w:start w:val="1"/>
      <w:numFmt w:val="lowerRoman"/>
      <w:lvlText w:val="%3."/>
      <w:lvlJc w:val="right"/>
      <w:pPr>
        <w:ind w:left="3643" w:hanging="180"/>
      </w:pPr>
    </w:lvl>
    <w:lvl w:ilvl="3" w:tplc="0C0A000F" w:tentative="1">
      <w:start w:val="1"/>
      <w:numFmt w:val="decimal"/>
      <w:lvlText w:val="%4."/>
      <w:lvlJc w:val="left"/>
      <w:pPr>
        <w:ind w:left="4363" w:hanging="360"/>
      </w:pPr>
    </w:lvl>
    <w:lvl w:ilvl="4" w:tplc="0C0A0019" w:tentative="1">
      <w:start w:val="1"/>
      <w:numFmt w:val="lowerLetter"/>
      <w:lvlText w:val="%5."/>
      <w:lvlJc w:val="left"/>
      <w:pPr>
        <w:ind w:left="5083" w:hanging="360"/>
      </w:pPr>
    </w:lvl>
    <w:lvl w:ilvl="5" w:tplc="0C0A001B" w:tentative="1">
      <w:start w:val="1"/>
      <w:numFmt w:val="lowerRoman"/>
      <w:lvlText w:val="%6."/>
      <w:lvlJc w:val="right"/>
      <w:pPr>
        <w:ind w:left="5803" w:hanging="180"/>
      </w:pPr>
    </w:lvl>
    <w:lvl w:ilvl="6" w:tplc="0C0A000F" w:tentative="1">
      <w:start w:val="1"/>
      <w:numFmt w:val="decimal"/>
      <w:lvlText w:val="%7."/>
      <w:lvlJc w:val="left"/>
      <w:pPr>
        <w:ind w:left="6523" w:hanging="360"/>
      </w:pPr>
    </w:lvl>
    <w:lvl w:ilvl="7" w:tplc="0C0A0019" w:tentative="1">
      <w:start w:val="1"/>
      <w:numFmt w:val="lowerLetter"/>
      <w:lvlText w:val="%8."/>
      <w:lvlJc w:val="left"/>
      <w:pPr>
        <w:ind w:left="7243" w:hanging="360"/>
      </w:pPr>
    </w:lvl>
    <w:lvl w:ilvl="8" w:tplc="0C0A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59E6"/>
    <w:rsid w:val="000B740D"/>
    <w:rsid w:val="000C6FD8"/>
    <w:rsid w:val="003141D5"/>
    <w:rsid w:val="003159E6"/>
    <w:rsid w:val="00424AFB"/>
    <w:rsid w:val="0065162C"/>
    <w:rsid w:val="00827A83"/>
    <w:rsid w:val="009C3874"/>
    <w:rsid w:val="00A51DCF"/>
    <w:rsid w:val="00C15BC6"/>
    <w:rsid w:val="00CC3E1A"/>
    <w:rsid w:val="00E862C2"/>
    <w:rsid w:val="00EC4334"/>
    <w:rsid w:val="00F44AC8"/>
    <w:rsid w:val="00FB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E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159E6"/>
    <w:pPr>
      <w:keepNext/>
      <w:ind w:firstLine="1985"/>
      <w:jc w:val="both"/>
      <w:outlineLvl w:val="0"/>
    </w:pPr>
    <w:rPr>
      <w:szCs w:val="20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3159E6"/>
    <w:pPr>
      <w:keepNext/>
      <w:ind w:left="-360"/>
      <w:jc w:val="both"/>
      <w:outlineLvl w:val="3"/>
    </w:pPr>
    <w:rPr>
      <w:rFonts w:ascii="Arial" w:hAnsi="Arial" w:cs="Arial"/>
      <w:b/>
      <w:bCs/>
      <w:noProof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3159E6"/>
    <w:pPr>
      <w:keepNext/>
      <w:ind w:left="-709" w:firstLine="425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3159E6"/>
    <w:pPr>
      <w:keepNext/>
      <w:jc w:val="both"/>
      <w:outlineLvl w:val="6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159E6"/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semiHidden/>
    <w:rsid w:val="003159E6"/>
    <w:rPr>
      <w:rFonts w:ascii="Arial" w:eastAsia="Times New Roman" w:hAnsi="Arial" w:cs="Arial"/>
      <w:b/>
      <w:bCs/>
      <w:noProof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3159E6"/>
    <w:rPr>
      <w:rFonts w:ascii="Arial" w:eastAsia="Times New Roman" w:hAnsi="Arial" w:cs="Times New Roman"/>
      <w:b/>
      <w:i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3159E6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paragraph" w:styleId="Sangradetextonormal">
    <w:name w:val="Body Text Indent"/>
    <w:basedOn w:val="Normal"/>
    <w:link w:val="SangradetextonormalCar"/>
    <w:semiHidden/>
    <w:unhideWhenUsed/>
    <w:rsid w:val="003159E6"/>
    <w:pPr>
      <w:ind w:firstLine="900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159E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159E6"/>
    <w:pPr>
      <w:ind w:left="720"/>
      <w:contextualSpacing/>
    </w:pPr>
  </w:style>
  <w:style w:type="character" w:customStyle="1" w:styleId="cuerpo1">
    <w:name w:val="cuerpo1"/>
    <w:basedOn w:val="Fuentedeprrafopredeter"/>
    <w:rsid w:val="003159E6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907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dominio13</dc:creator>
  <cp:keywords/>
  <dc:description/>
  <cp:lastModifiedBy>dominio13</cp:lastModifiedBy>
  <cp:revision>4</cp:revision>
  <dcterms:created xsi:type="dcterms:W3CDTF">2015-05-15T13:48:00Z</dcterms:created>
  <dcterms:modified xsi:type="dcterms:W3CDTF">2015-10-27T11:41:00Z</dcterms:modified>
</cp:coreProperties>
</file>