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93" w:rsidRDefault="00B935C9" w:rsidP="00696E93">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2925" r:id="rId6"/>
        </w:pict>
      </w:r>
      <w:r w:rsidR="00696E93">
        <w:t>PROVINCIA del CHACO</w:t>
      </w:r>
    </w:p>
    <w:p w:rsidR="00696E93" w:rsidRDefault="00696E93" w:rsidP="00696E93">
      <w:pPr>
        <w:pStyle w:val="Ttulo6"/>
        <w:ind w:right="5958" w:hanging="551"/>
        <w:jc w:val="center"/>
      </w:pPr>
      <w:r>
        <w:t>Ministerio de Gobierno, Justicia y Trabajo</w:t>
      </w:r>
    </w:p>
    <w:p w:rsidR="00696E93" w:rsidRDefault="00696E93" w:rsidP="00696E93">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696E93" w:rsidRDefault="00696E93" w:rsidP="00696E93">
      <w:pPr>
        <w:pStyle w:val="Ttulo1"/>
        <w:ind w:left="-709" w:right="5958" w:hanging="551"/>
        <w:jc w:val="center"/>
        <w:rPr>
          <w:rFonts w:ascii="Arial Black" w:hAnsi="Arial Black"/>
          <w:sz w:val="16"/>
        </w:rPr>
      </w:pPr>
      <w:r>
        <w:rPr>
          <w:rFonts w:ascii="Arial Black" w:hAnsi="Arial Black"/>
          <w:sz w:val="16"/>
        </w:rPr>
        <w:t>Av. Las Heras y Juan B. Justo</w:t>
      </w:r>
    </w:p>
    <w:p w:rsidR="00696E93" w:rsidRDefault="00696E93" w:rsidP="00696E93">
      <w:pPr>
        <w:pStyle w:val="Ttulo1"/>
        <w:ind w:left="-709" w:right="5958" w:hanging="551"/>
        <w:jc w:val="center"/>
        <w:rPr>
          <w:rFonts w:ascii="Arial Black" w:hAnsi="Arial Black"/>
          <w:sz w:val="16"/>
        </w:rPr>
      </w:pPr>
      <w:r>
        <w:rPr>
          <w:rFonts w:ascii="Arial Black" w:hAnsi="Arial Black"/>
          <w:sz w:val="16"/>
        </w:rPr>
        <w:t>Resistencia – T.E.Nº03722–423266</w:t>
      </w:r>
    </w:p>
    <w:p w:rsidR="00696E93" w:rsidRDefault="00696E93" w:rsidP="00696E93">
      <w:pPr>
        <w:ind w:right="51"/>
        <w:jc w:val="center"/>
        <w:rPr>
          <w:sz w:val="22"/>
          <w:szCs w:val="22"/>
        </w:rPr>
      </w:pPr>
      <w:r>
        <w:rPr>
          <w:i/>
          <w:iCs/>
        </w:rPr>
        <w:t xml:space="preserve">                 </w:t>
      </w:r>
    </w:p>
    <w:p w:rsidR="00696E93" w:rsidRPr="00D9321C" w:rsidRDefault="00696E93" w:rsidP="00D9321C">
      <w:pPr>
        <w:ind w:right="51"/>
        <w:jc w:val="right"/>
        <w:rPr>
          <w:sz w:val="22"/>
          <w:szCs w:val="22"/>
        </w:rPr>
      </w:pPr>
      <w:r>
        <w:t>Resistencia, 26 de Octubre de 2009.-</w:t>
      </w:r>
    </w:p>
    <w:p w:rsidR="00696E93" w:rsidRDefault="00696E93" w:rsidP="00696E93">
      <w:pPr>
        <w:ind w:right="51"/>
        <w:jc w:val="both"/>
      </w:pPr>
      <w:r>
        <w:rPr>
          <w:b/>
          <w:u w:val="single"/>
        </w:rPr>
        <w:t>VISTO:</w:t>
      </w:r>
    </w:p>
    <w:p w:rsidR="00696E93" w:rsidRDefault="00696E93" w:rsidP="00696E93">
      <w:pPr>
        <w:pStyle w:val="Sangra2detindependiente"/>
      </w:pPr>
      <w:r>
        <w:t xml:space="preserve">El plazo de caducidad de la Ley Nº17.801/68 y Decreto Nº306/69 y la Anotación de </w:t>
      </w:r>
      <w:proofErr w:type="spellStart"/>
      <w:r>
        <w:t>Litis</w:t>
      </w:r>
      <w:proofErr w:type="spellEnd"/>
      <w:r>
        <w:t>; y</w:t>
      </w:r>
    </w:p>
    <w:p w:rsidR="00696E93" w:rsidRDefault="00696E93" w:rsidP="00696E93">
      <w:pPr>
        <w:ind w:right="51" w:firstLine="1985"/>
        <w:jc w:val="both"/>
        <w:rPr>
          <w:sz w:val="16"/>
        </w:rPr>
      </w:pPr>
    </w:p>
    <w:p w:rsidR="00696E93" w:rsidRDefault="00696E93" w:rsidP="00696E93">
      <w:pPr>
        <w:ind w:right="51"/>
        <w:jc w:val="both"/>
      </w:pPr>
      <w:r>
        <w:rPr>
          <w:b/>
          <w:u w:val="single"/>
        </w:rPr>
        <w:t>CONSIDERANDO:</w:t>
      </w:r>
    </w:p>
    <w:p w:rsidR="00696E93" w:rsidRDefault="00696E93" w:rsidP="00696E93">
      <w:pPr>
        <w:pStyle w:val="Sangra2detindependiente"/>
      </w:pPr>
      <w:r>
        <w:t xml:space="preserve">Que la legislación vigente en materia de medidas cautelares, ya en el orden provincial (Ley Nº968) como en la Ley de Fondo (Ley Nº17.801) no atribuye a la anotación de </w:t>
      </w:r>
      <w:proofErr w:type="spellStart"/>
      <w:r>
        <w:t>litis</w:t>
      </w:r>
      <w:proofErr w:type="spellEnd"/>
      <w:r>
        <w:t xml:space="preserve">, características diferenciales de las otras medidas cautelares existentes; </w:t>
      </w:r>
    </w:p>
    <w:p w:rsidR="00696E93" w:rsidRDefault="00696E93" w:rsidP="00696E93">
      <w:pPr>
        <w:ind w:firstLine="1980"/>
        <w:jc w:val="both"/>
        <w:rPr>
          <w:sz w:val="16"/>
          <w:lang w:val="es-ES_tradnl"/>
        </w:rPr>
      </w:pPr>
      <w:r>
        <w:t xml:space="preserve">Que en el articulo 37 inciso b) de la Ley 17.801 al referirse a las anotaciones </w:t>
      </w:r>
      <w:proofErr w:type="spellStart"/>
      <w:r>
        <w:t>previstasen</w:t>
      </w:r>
      <w:proofErr w:type="spellEnd"/>
      <w:r>
        <w:t xml:space="preserve"> el articulo 2 inciso b) del citado texto legal, establece un plazo de caducidad de cinco años, contándose a partir de la fecha de toma de razón definitiva;</w:t>
      </w:r>
    </w:p>
    <w:p w:rsidR="00696E93" w:rsidRDefault="00696E93" w:rsidP="00696E93">
      <w:pPr>
        <w:pStyle w:val="Sangra2detindependiente"/>
      </w:pPr>
      <w:r>
        <w:rPr>
          <w:lang w:val="es-ES_tradnl"/>
        </w:rPr>
        <w:t xml:space="preserve">Que esta interpretación del término de caducidad no se opone a lo establecido en el artículo 229 del Código de Procedimientos Civil y Comercial que determina que la anotación de </w:t>
      </w:r>
      <w:proofErr w:type="spellStart"/>
      <w:r>
        <w:rPr>
          <w:lang w:val="es-ES_tradnl"/>
        </w:rPr>
        <w:t>Litis</w:t>
      </w:r>
      <w:proofErr w:type="spellEnd"/>
      <w:r>
        <w:rPr>
          <w:lang w:val="es-ES_tradnl"/>
        </w:rPr>
        <w:t xml:space="preserve"> se mantendrá vigente mientras dure el juicio, por cuanto debe distinguirse lo relativo a los recaudos que hacen procedente el mantenimiento de la medida( materia específicamente contenida en la ley ritual) de plazo de caducidad del asiento de inscripción que aquella genera, ello sin perjuicio de lo previsto en el articulo 207 2º parte que contempla la posibilidad </w:t>
      </w:r>
      <w:r w:rsidR="00C37817">
        <w:rPr>
          <w:lang w:val="es-ES_tradnl"/>
        </w:rPr>
        <w:t>de su reinscripción de conformidad a lo dispuesto por el artículo 229 del Código de Procedimientos Civil y Comercial</w:t>
      </w:r>
      <w:r w:rsidR="00C37817">
        <w:t>;</w:t>
      </w:r>
    </w:p>
    <w:p w:rsidR="00C37817" w:rsidRDefault="00C37817" w:rsidP="00696E93">
      <w:pPr>
        <w:tabs>
          <w:tab w:val="left" w:pos="4395"/>
        </w:tabs>
        <w:ind w:firstLine="1985"/>
        <w:jc w:val="both"/>
      </w:pPr>
      <w:r>
        <w:t>Que por otra parte, siendo tema reglado por la Ley de fondo debe prevalecer sobre toda norma vigente;</w:t>
      </w:r>
    </w:p>
    <w:p w:rsidR="00696E93" w:rsidRDefault="00696E93" w:rsidP="00D9321C">
      <w:pPr>
        <w:tabs>
          <w:tab w:val="left" w:pos="4395"/>
        </w:tabs>
        <w:ind w:firstLine="1985"/>
        <w:jc w:val="both"/>
      </w:pPr>
      <w:r>
        <w:t>Que conforme al artículo 36 inciso c) y f) del Decreto Nº306/6</w:t>
      </w:r>
      <w:r w:rsidR="00C37817">
        <w:t>9 y de acuerdo con las facultades otorgadas por Disposición Nº57/2009 del Subsecretario de Gobierno, Culto y Registros Públicos</w:t>
      </w:r>
      <w:r>
        <w:t>;</w:t>
      </w:r>
      <w:r>
        <w:tab/>
      </w:r>
    </w:p>
    <w:p w:rsidR="00696E93" w:rsidRDefault="00696E93" w:rsidP="00696E93">
      <w:pPr>
        <w:ind w:right="51"/>
        <w:jc w:val="center"/>
        <w:rPr>
          <w:b/>
        </w:rPr>
      </w:pPr>
      <w:smartTag w:uri="urn:schemas-microsoft-com:office:smarttags" w:element="PersonName">
        <w:smartTagPr>
          <w:attr w:name="ProductID" w:val="LA DIRECCION DEL"/>
        </w:smartTagPr>
        <w:r>
          <w:rPr>
            <w:b/>
          </w:rPr>
          <w:t>LA DIRECCION DEL</w:t>
        </w:r>
      </w:smartTag>
      <w:r>
        <w:rPr>
          <w:b/>
        </w:rPr>
        <w:t xml:space="preserve"> REGISTRO DE </w:t>
      </w:r>
      <w:smartTag w:uri="urn:schemas-microsoft-com:office:smarttags" w:element="PersonName">
        <w:smartTagPr>
          <w:attr w:name="ProductID" w:val="la Propiedad Inmueble"/>
        </w:smartTagPr>
        <w:r>
          <w:rPr>
            <w:b/>
          </w:rPr>
          <w:t>LA PROPIEDAD INMUEBLE</w:t>
        </w:r>
      </w:smartTag>
    </w:p>
    <w:p w:rsidR="00696E93" w:rsidRDefault="00696E93" w:rsidP="00696E93">
      <w:pPr>
        <w:ind w:right="51"/>
        <w:jc w:val="center"/>
        <w:rPr>
          <w:b/>
          <w:u w:val="single"/>
        </w:rPr>
      </w:pPr>
      <w:r>
        <w:rPr>
          <w:b/>
          <w:u w:val="single"/>
        </w:rPr>
        <w:t xml:space="preserve">D I S P O N E </w:t>
      </w:r>
    </w:p>
    <w:p w:rsidR="00696E93" w:rsidRPr="00C37817" w:rsidRDefault="00C37817" w:rsidP="00696E93">
      <w:pPr>
        <w:numPr>
          <w:ilvl w:val="0"/>
          <w:numId w:val="1"/>
        </w:numPr>
        <w:ind w:right="51"/>
        <w:jc w:val="both"/>
        <w:rPr>
          <w:sz w:val="16"/>
        </w:rPr>
      </w:pPr>
      <w:r>
        <w:t xml:space="preserve">En la nota de inscripción que se inserta en el documento, deberá anoticiarse el plazo de vigencia de la anotación de </w:t>
      </w:r>
      <w:proofErr w:type="spellStart"/>
      <w:r>
        <w:t>Litis</w:t>
      </w:r>
      <w:proofErr w:type="spellEnd"/>
      <w:r>
        <w:t xml:space="preserve"> y su posibilidad de reinscripción de conformidad con lo dispuesto en el artículo 37 de la Ley 17.801</w:t>
      </w:r>
      <w:r w:rsidR="00696E93">
        <w:t xml:space="preserve">. </w:t>
      </w:r>
    </w:p>
    <w:p w:rsidR="00C37817" w:rsidRDefault="00C37817" w:rsidP="00696E93">
      <w:pPr>
        <w:numPr>
          <w:ilvl w:val="0"/>
          <w:numId w:val="1"/>
        </w:numPr>
        <w:ind w:right="51"/>
        <w:jc w:val="both"/>
        <w:rPr>
          <w:sz w:val="16"/>
        </w:rPr>
      </w:pPr>
      <w:r>
        <w:t xml:space="preserve">Las anotaciones de </w:t>
      </w:r>
      <w:proofErr w:type="spellStart"/>
      <w:r>
        <w:t>Litis</w:t>
      </w:r>
      <w:proofErr w:type="spellEnd"/>
      <w:r>
        <w:t xml:space="preserve">, cuya registración se opera con anterioridad a la presente, solo serán levantadas mediante orden judicial emanada del mismo Juzgado que decreto la medida. El diligenciamiento estará a cargo de quien tenga una </w:t>
      </w:r>
      <w:proofErr w:type="spellStart"/>
      <w:r>
        <w:t>pretención</w:t>
      </w:r>
      <w:proofErr w:type="spellEnd"/>
      <w:r>
        <w:t xml:space="preserve"> legítima sobre el inmueble en litigio.</w:t>
      </w:r>
    </w:p>
    <w:p w:rsidR="00696E93" w:rsidRPr="00D9321C" w:rsidRDefault="00696E93" w:rsidP="00696E93">
      <w:pPr>
        <w:numPr>
          <w:ilvl w:val="0"/>
          <w:numId w:val="1"/>
        </w:numPr>
        <w:ind w:right="51"/>
        <w:jc w:val="both"/>
      </w:pPr>
      <w:r>
        <w:t>Notifíquese, regístrese y hágase saber, cumplido, archívese.</w:t>
      </w:r>
    </w:p>
    <w:p w:rsidR="00696E93" w:rsidRDefault="00696E93" w:rsidP="00D9321C">
      <w:pPr>
        <w:pStyle w:val="Ttulo3"/>
      </w:pPr>
      <w:r>
        <w:t>DI</w:t>
      </w:r>
      <w:r w:rsidR="00C37817">
        <w:t>SPOSICIÓN TÉCNICA REGISTRAL Nº19/2009</w:t>
      </w:r>
      <w:r>
        <w:t>.</w:t>
      </w:r>
      <w:r w:rsidR="00C37817">
        <w:t>-</w:t>
      </w:r>
    </w:p>
    <w:p w:rsidR="00D9321C" w:rsidRDefault="00D9321C" w:rsidP="00D9321C">
      <w:pPr>
        <w:ind w:left="3828"/>
        <w:jc w:val="center"/>
      </w:pPr>
      <w:r>
        <w:t>LILIA NOEMI DIEZ</w:t>
      </w:r>
    </w:p>
    <w:p w:rsidR="00D9321C" w:rsidRDefault="00D9321C" w:rsidP="00D9321C">
      <w:pPr>
        <w:ind w:left="3828"/>
        <w:jc w:val="center"/>
      </w:pPr>
      <w:r>
        <w:t>ABOGADA-ESCRIBANA</w:t>
      </w:r>
    </w:p>
    <w:p w:rsidR="00D9321C" w:rsidRDefault="00D9321C" w:rsidP="00D9321C">
      <w:pPr>
        <w:ind w:left="3828"/>
        <w:jc w:val="center"/>
      </w:pPr>
      <w:r>
        <w:t>DIRECTORA</w:t>
      </w:r>
    </w:p>
    <w:p w:rsidR="00D9321C" w:rsidRDefault="00D9321C" w:rsidP="00D9321C">
      <w:pPr>
        <w:ind w:left="3828"/>
        <w:jc w:val="center"/>
      </w:pPr>
      <w:r>
        <w:t>REGISTRO DE LA PROPIEDAD INMUEBLE</w:t>
      </w:r>
    </w:p>
    <w:p w:rsidR="00D9321C" w:rsidRDefault="00D9321C" w:rsidP="00D9321C">
      <w:pPr>
        <w:jc w:val="center"/>
      </w:pPr>
    </w:p>
    <w:p w:rsidR="00D9321C" w:rsidRDefault="00D9321C" w:rsidP="00D9321C">
      <w:pPr>
        <w:jc w:val="center"/>
      </w:pPr>
    </w:p>
    <w:p w:rsidR="00696E93" w:rsidRDefault="00696E93" w:rsidP="00696E93"/>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E93"/>
    <w:rsid w:val="002C1A4D"/>
    <w:rsid w:val="00696E93"/>
    <w:rsid w:val="00B935C9"/>
    <w:rsid w:val="00C37817"/>
    <w:rsid w:val="00D9321C"/>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93"/>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96E93"/>
    <w:pPr>
      <w:keepNext/>
      <w:ind w:firstLine="1985"/>
      <w:jc w:val="both"/>
      <w:outlineLvl w:val="0"/>
    </w:pPr>
    <w:rPr>
      <w:szCs w:val="20"/>
    </w:rPr>
  </w:style>
  <w:style w:type="paragraph" w:styleId="Ttulo3">
    <w:name w:val="heading 3"/>
    <w:basedOn w:val="Normal"/>
    <w:next w:val="Normal"/>
    <w:link w:val="Ttulo3Car"/>
    <w:unhideWhenUsed/>
    <w:qFormat/>
    <w:rsid w:val="00696E93"/>
    <w:pPr>
      <w:keepNext/>
      <w:outlineLvl w:val="2"/>
    </w:pPr>
    <w:rPr>
      <w:b/>
      <w:bCs/>
      <w:u w:val="single"/>
    </w:rPr>
  </w:style>
  <w:style w:type="paragraph" w:styleId="Ttulo4">
    <w:name w:val="heading 4"/>
    <w:basedOn w:val="Normal"/>
    <w:next w:val="Normal"/>
    <w:link w:val="Ttulo4Car"/>
    <w:semiHidden/>
    <w:unhideWhenUsed/>
    <w:qFormat/>
    <w:rsid w:val="00696E93"/>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696E93"/>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6E93"/>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rsid w:val="00696E93"/>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696E93"/>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696E93"/>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696E93"/>
    <w:pPr>
      <w:ind w:right="51" w:firstLine="1985"/>
      <w:jc w:val="both"/>
    </w:pPr>
    <w:rPr>
      <w:szCs w:val="20"/>
    </w:rPr>
  </w:style>
  <w:style w:type="character" w:customStyle="1" w:styleId="Sangra2detindependienteCar">
    <w:name w:val="Sangría 2 de t. independiente Car"/>
    <w:basedOn w:val="Fuentedeprrafopredeter"/>
    <w:link w:val="Sangra2detindependiente"/>
    <w:semiHidden/>
    <w:rsid w:val="00696E93"/>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266154267">
      <w:bodyDiv w:val="1"/>
      <w:marLeft w:val="0"/>
      <w:marRight w:val="0"/>
      <w:marTop w:val="0"/>
      <w:marBottom w:val="0"/>
      <w:divBdr>
        <w:top w:val="none" w:sz="0" w:space="0" w:color="auto"/>
        <w:left w:val="none" w:sz="0" w:space="0" w:color="auto"/>
        <w:bottom w:val="none" w:sz="0" w:space="0" w:color="auto"/>
        <w:right w:val="none" w:sz="0" w:space="0" w:color="auto"/>
      </w:divBdr>
    </w:div>
    <w:div w:id="14720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2015-04-17T14:31:00Z</dcterms:created>
  <dcterms:modified xsi:type="dcterms:W3CDTF">2015-10-20T10:56:00Z</dcterms:modified>
</cp:coreProperties>
</file>