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54" w:rsidRDefault="00FE5952" w:rsidP="00BC7A54">
      <w:pPr>
        <w:pStyle w:val="Ttulo5"/>
        <w:ind w:right="0" w:hanging="567"/>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16.7pt;width:37.9pt;height:56pt;z-index:251660288">
            <v:imagedata r:id="rId5" o:title=""/>
            <w10:wrap type="topAndBottom"/>
          </v:shape>
          <o:OLEObject Type="Embed" ProgID="PBrush" ShapeID="_x0000_s1026" DrawAspect="Content" ObjectID="_1506838035" r:id="rId6"/>
        </w:pict>
      </w:r>
      <w:r w:rsidR="00BC7A54">
        <w:rPr>
          <w:rFonts w:ascii="Arial" w:hAnsi="Arial"/>
          <w:b/>
          <w:noProof/>
        </w:rPr>
        <w:t>PROVINCIA del CHACO</w:t>
      </w:r>
    </w:p>
    <w:p w:rsidR="00BC7A54" w:rsidRDefault="00BC7A54" w:rsidP="00BC7A54">
      <w:pPr>
        <w:pStyle w:val="Ttulo6"/>
        <w:ind w:hanging="1418"/>
      </w:pPr>
      <w:r>
        <w:t xml:space="preserve">                 Ministerio</w:t>
      </w:r>
      <w:r w:rsidR="00BD1888">
        <w:t xml:space="preserve"> de Gobierno, Justicia y Educación</w:t>
      </w:r>
    </w:p>
    <w:p w:rsidR="00BC7A54" w:rsidRDefault="00BC7A54" w:rsidP="00BC7A54">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BC7A54" w:rsidRDefault="00BC7A54" w:rsidP="00BC7A54">
      <w:pPr>
        <w:ind w:right="51"/>
        <w:jc w:val="right"/>
        <w:rPr>
          <w:sz w:val="24"/>
        </w:rPr>
      </w:pPr>
      <w:bookmarkStart w:id="0" w:name="_Hlt524920008"/>
      <w:bookmarkEnd w:id="0"/>
    </w:p>
    <w:p w:rsidR="00BC7A54" w:rsidRDefault="00BC7A54" w:rsidP="00BC7A54">
      <w:pPr>
        <w:ind w:right="51"/>
        <w:jc w:val="right"/>
        <w:rPr>
          <w:sz w:val="16"/>
          <w:szCs w:val="16"/>
        </w:rPr>
      </w:pPr>
    </w:p>
    <w:p w:rsidR="00BC7A54" w:rsidRPr="00956BA2" w:rsidRDefault="00BC7A54" w:rsidP="00BC7A54">
      <w:pPr>
        <w:ind w:right="51"/>
        <w:jc w:val="right"/>
        <w:rPr>
          <w:sz w:val="24"/>
          <w:szCs w:val="24"/>
        </w:rPr>
      </w:pPr>
      <w:bookmarkStart w:id="1" w:name="_Hlt67287078"/>
      <w:r w:rsidRPr="00956BA2">
        <w:rPr>
          <w:sz w:val="24"/>
          <w:szCs w:val="24"/>
        </w:rPr>
        <w:t>Resistencia, 04 de Abril de 1995.</w:t>
      </w:r>
    </w:p>
    <w:p w:rsidR="00BC7A54" w:rsidRPr="00956BA2" w:rsidRDefault="00BC7A54" w:rsidP="00BC7A54">
      <w:pPr>
        <w:ind w:right="51"/>
        <w:jc w:val="both"/>
        <w:rPr>
          <w:sz w:val="24"/>
          <w:szCs w:val="24"/>
        </w:rPr>
      </w:pPr>
      <w:bookmarkStart w:id="2" w:name="_Hlt3251497"/>
      <w:bookmarkStart w:id="3" w:name="NORMATIVA"/>
      <w:bookmarkEnd w:id="1"/>
      <w:bookmarkEnd w:id="2"/>
      <w:r w:rsidRPr="00956BA2">
        <w:rPr>
          <w:b/>
          <w:sz w:val="24"/>
          <w:szCs w:val="24"/>
          <w:u w:val="single"/>
        </w:rPr>
        <w:t>VISTO</w:t>
      </w:r>
      <w:bookmarkEnd w:id="3"/>
      <w:r w:rsidRPr="00956BA2">
        <w:rPr>
          <w:b/>
          <w:sz w:val="24"/>
          <w:szCs w:val="24"/>
          <w:u w:val="single"/>
        </w:rPr>
        <w:t>:</w:t>
      </w:r>
    </w:p>
    <w:p w:rsidR="00BC7A54" w:rsidRPr="00956BA2" w:rsidRDefault="00BC7A54" w:rsidP="00BC7A54">
      <w:pPr>
        <w:pStyle w:val="Sangra2detindependiente"/>
        <w:rPr>
          <w:szCs w:val="24"/>
        </w:rPr>
      </w:pPr>
      <w:r w:rsidRPr="00956BA2">
        <w:rPr>
          <w:szCs w:val="24"/>
        </w:rPr>
        <w:t>Que el consentimiento del cónyuge, en las hipotecas por saldo de precio, generan dudas respecto a las exigencias o no del consentimiento, y;</w:t>
      </w:r>
    </w:p>
    <w:p w:rsidR="00BC7A54" w:rsidRPr="00956BA2" w:rsidRDefault="00BC7A54" w:rsidP="00BC7A54">
      <w:pPr>
        <w:pStyle w:val="Sangra2detindependiente"/>
        <w:rPr>
          <w:sz w:val="16"/>
          <w:szCs w:val="16"/>
        </w:rPr>
      </w:pPr>
    </w:p>
    <w:p w:rsidR="00BC7A54" w:rsidRPr="00956BA2" w:rsidRDefault="00BC7A54" w:rsidP="00BC7A54">
      <w:pPr>
        <w:ind w:right="51"/>
        <w:jc w:val="both"/>
        <w:rPr>
          <w:b/>
          <w:sz w:val="24"/>
          <w:szCs w:val="24"/>
          <w:u w:val="single"/>
        </w:rPr>
      </w:pPr>
      <w:r w:rsidRPr="00956BA2">
        <w:rPr>
          <w:b/>
          <w:sz w:val="24"/>
          <w:szCs w:val="24"/>
          <w:u w:val="single"/>
        </w:rPr>
        <w:t>CONSIDERANDO:</w:t>
      </w:r>
    </w:p>
    <w:p w:rsidR="00BC7A54" w:rsidRPr="00956BA2" w:rsidRDefault="00BC7A54" w:rsidP="00BC7A54">
      <w:pPr>
        <w:ind w:right="51" w:firstLine="1985"/>
        <w:jc w:val="both"/>
        <w:rPr>
          <w:sz w:val="24"/>
          <w:szCs w:val="24"/>
        </w:rPr>
      </w:pPr>
      <w:r w:rsidRPr="00956BA2">
        <w:rPr>
          <w:sz w:val="24"/>
          <w:szCs w:val="24"/>
        </w:rPr>
        <w:t>Que la constitución de hipotecas por saldo de precio de compra de un inmueble no requiere necesariamente el consentimiento del cónyuge, contemplado en el Art. 1277 del Cód. Civil, puesto que no se trata en realidad de un acto de enajenación.-</w:t>
      </w:r>
    </w:p>
    <w:p w:rsidR="00F4442D" w:rsidRPr="00956BA2" w:rsidRDefault="00BC7A54" w:rsidP="00BC7A54">
      <w:pPr>
        <w:ind w:right="51" w:firstLine="1985"/>
        <w:jc w:val="both"/>
        <w:rPr>
          <w:sz w:val="24"/>
          <w:szCs w:val="24"/>
        </w:rPr>
      </w:pPr>
      <w:r w:rsidRPr="00956BA2">
        <w:rPr>
          <w:sz w:val="24"/>
          <w:szCs w:val="24"/>
        </w:rPr>
        <w:t xml:space="preserve">No se compromete con el gravamen un bien actual, ni existe, por ende disminución de patrimonio, antes bien posibilita el aumento de los bienes de los que luego no </w:t>
      </w:r>
      <w:r w:rsidR="00F4442D" w:rsidRPr="00956BA2">
        <w:rPr>
          <w:sz w:val="24"/>
          <w:szCs w:val="24"/>
        </w:rPr>
        <w:t>podrá disponer el administrador sin el asentimiento que la recordada norma prevé y en el mismo sentido se ha sostenido que ese consentimiento que se exige para gravar o disponer de inmuebles, halla su fundamento en el propósito de protección del patrimonio familiar, en especial del cónyuge, en cuanto tales actos implican la posibilidad de una disminución patrimonial no requiriéndose por lógica consecuencia cuando se trata de adquisición de inmuebles.-</w:t>
      </w:r>
    </w:p>
    <w:p w:rsidR="00BC7A54" w:rsidRPr="00956BA2" w:rsidRDefault="00F4442D" w:rsidP="00BC7A54">
      <w:pPr>
        <w:ind w:right="51" w:firstLine="1985"/>
        <w:jc w:val="both"/>
        <w:rPr>
          <w:sz w:val="24"/>
          <w:szCs w:val="24"/>
        </w:rPr>
      </w:pPr>
      <w:r w:rsidRPr="00956BA2">
        <w:rPr>
          <w:sz w:val="24"/>
          <w:szCs w:val="24"/>
        </w:rPr>
        <w:t>Por ello:</w:t>
      </w:r>
      <w:r w:rsidR="00BC7A54" w:rsidRPr="00956BA2">
        <w:rPr>
          <w:sz w:val="24"/>
          <w:szCs w:val="24"/>
        </w:rPr>
        <w:t xml:space="preserve">   </w:t>
      </w:r>
    </w:p>
    <w:p w:rsidR="00F4442D" w:rsidRPr="00956BA2" w:rsidRDefault="00F4442D" w:rsidP="00BC7A54">
      <w:pPr>
        <w:ind w:right="51"/>
        <w:jc w:val="center"/>
        <w:rPr>
          <w:sz w:val="16"/>
          <w:szCs w:val="16"/>
        </w:rPr>
      </w:pPr>
      <w:bookmarkStart w:id="4" w:name="_Hlt19932522"/>
      <w:bookmarkEnd w:id="4"/>
    </w:p>
    <w:p w:rsidR="00BC7A54" w:rsidRPr="00956BA2" w:rsidRDefault="00BC7A54" w:rsidP="00BC7A54">
      <w:pPr>
        <w:ind w:right="51"/>
        <w:jc w:val="center"/>
        <w:rPr>
          <w:b/>
          <w:sz w:val="24"/>
          <w:szCs w:val="24"/>
        </w:rPr>
      </w:pPr>
      <w:r w:rsidRPr="00956BA2">
        <w:rPr>
          <w:b/>
          <w:sz w:val="24"/>
          <w:szCs w:val="24"/>
        </w:rPr>
        <w:t xml:space="preserve"> LA DIRECCION</w:t>
      </w:r>
    </w:p>
    <w:p w:rsidR="00BC7A54" w:rsidRPr="00956BA2" w:rsidRDefault="00BC7A54" w:rsidP="00BC7A54">
      <w:pPr>
        <w:ind w:right="51"/>
        <w:jc w:val="center"/>
        <w:rPr>
          <w:b/>
          <w:sz w:val="24"/>
          <w:szCs w:val="24"/>
        </w:rPr>
      </w:pPr>
      <w:r w:rsidRPr="00956BA2">
        <w:rPr>
          <w:b/>
          <w:sz w:val="24"/>
          <w:szCs w:val="24"/>
        </w:rPr>
        <w:t>DEL REGISTRO DE LA PROPIEDAD INMUEBLE</w:t>
      </w:r>
    </w:p>
    <w:p w:rsidR="00BC7A54" w:rsidRPr="00956BA2" w:rsidRDefault="00BC7A54" w:rsidP="00BC7A54">
      <w:pPr>
        <w:ind w:right="51"/>
        <w:jc w:val="center"/>
        <w:rPr>
          <w:b/>
          <w:sz w:val="24"/>
          <w:szCs w:val="24"/>
          <w:u w:val="single"/>
        </w:rPr>
      </w:pPr>
      <w:r w:rsidRPr="00956BA2">
        <w:rPr>
          <w:b/>
          <w:sz w:val="24"/>
          <w:szCs w:val="24"/>
          <w:u w:val="single"/>
        </w:rPr>
        <w:t xml:space="preserve">D I S P O N E </w:t>
      </w:r>
    </w:p>
    <w:p w:rsidR="00BC7A54" w:rsidRPr="00956BA2" w:rsidRDefault="00BC7A54" w:rsidP="00BC7A54">
      <w:pPr>
        <w:ind w:right="51"/>
        <w:jc w:val="center"/>
        <w:rPr>
          <w:b/>
          <w:sz w:val="16"/>
          <w:szCs w:val="16"/>
          <w:u w:val="single"/>
        </w:rPr>
      </w:pPr>
    </w:p>
    <w:p w:rsidR="00BC7A54" w:rsidRPr="00956BA2" w:rsidRDefault="00F4442D" w:rsidP="00BC7A54">
      <w:pPr>
        <w:numPr>
          <w:ilvl w:val="0"/>
          <w:numId w:val="2"/>
        </w:numPr>
        <w:ind w:right="51"/>
        <w:jc w:val="both"/>
        <w:rPr>
          <w:sz w:val="24"/>
          <w:szCs w:val="24"/>
        </w:rPr>
      </w:pPr>
      <w:r w:rsidRPr="00956BA2">
        <w:rPr>
          <w:sz w:val="24"/>
          <w:szCs w:val="24"/>
        </w:rPr>
        <w:t>No será exigido dicho consentimiento cuando la compra se efectúa con precio aplazado garantizado con hipoteca, pues aún en tal emergencia, el patrimonio familiar se acrecienta y no disminuye con la entrada del bien</w:t>
      </w:r>
      <w:r w:rsidR="00BC7A54" w:rsidRPr="00956BA2">
        <w:rPr>
          <w:sz w:val="24"/>
          <w:szCs w:val="24"/>
        </w:rPr>
        <w:t>.</w:t>
      </w:r>
      <w:r w:rsidRPr="00956BA2">
        <w:rPr>
          <w:sz w:val="24"/>
          <w:szCs w:val="24"/>
        </w:rPr>
        <w:t>-</w:t>
      </w:r>
    </w:p>
    <w:p w:rsidR="00BC7A54" w:rsidRPr="00956BA2" w:rsidRDefault="00F4442D" w:rsidP="00BC7A54">
      <w:pPr>
        <w:pStyle w:val="Ttulo2"/>
        <w:numPr>
          <w:ilvl w:val="0"/>
          <w:numId w:val="2"/>
        </w:numPr>
        <w:rPr>
          <w:szCs w:val="24"/>
        </w:rPr>
      </w:pPr>
      <w:r w:rsidRPr="00956BA2">
        <w:rPr>
          <w:szCs w:val="24"/>
        </w:rPr>
        <w:t>Notifíquese, c</w:t>
      </w:r>
      <w:r w:rsidR="00BC7A54" w:rsidRPr="00956BA2">
        <w:rPr>
          <w:szCs w:val="24"/>
        </w:rPr>
        <w:t>omuníquese y archívese.</w:t>
      </w:r>
    </w:p>
    <w:p w:rsidR="00BC7A54" w:rsidRPr="00956BA2" w:rsidRDefault="00BC7A54" w:rsidP="00BC7A54">
      <w:pPr>
        <w:ind w:right="51"/>
        <w:jc w:val="both"/>
        <w:rPr>
          <w:sz w:val="16"/>
          <w:szCs w:val="16"/>
        </w:rPr>
      </w:pPr>
    </w:p>
    <w:p w:rsidR="00BC7A54" w:rsidRPr="00956BA2" w:rsidRDefault="00BC7A54" w:rsidP="00BC7A54">
      <w:pPr>
        <w:rPr>
          <w:b/>
          <w:sz w:val="24"/>
          <w:szCs w:val="24"/>
          <w:u w:val="single"/>
        </w:rPr>
      </w:pPr>
      <w:r w:rsidRPr="00956BA2">
        <w:rPr>
          <w:b/>
          <w:sz w:val="24"/>
          <w:szCs w:val="24"/>
          <w:u w:val="single"/>
        </w:rPr>
        <w:t>DI</w:t>
      </w:r>
      <w:r w:rsidR="00F4442D" w:rsidRPr="00956BA2">
        <w:rPr>
          <w:b/>
          <w:sz w:val="24"/>
          <w:szCs w:val="24"/>
          <w:u w:val="single"/>
        </w:rPr>
        <w:t>SPOSICIÓN TECNICA REGISTRAL Nº09</w:t>
      </w:r>
      <w:r w:rsidRPr="00956BA2">
        <w:rPr>
          <w:b/>
          <w:sz w:val="24"/>
          <w:szCs w:val="24"/>
          <w:u w:val="single"/>
        </w:rPr>
        <w:t>/1995.</w:t>
      </w:r>
    </w:p>
    <w:p w:rsidR="00BC7A54" w:rsidRDefault="00BC7A54" w:rsidP="00BC7A54"/>
    <w:p w:rsidR="008B4DD5" w:rsidRDefault="008B4DD5" w:rsidP="008B4DD5">
      <w:pPr>
        <w:jc w:val="center"/>
      </w:pPr>
      <w:r>
        <w:tab/>
      </w:r>
      <w:r>
        <w:tab/>
      </w:r>
      <w:r>
        <w:tab/>
      </w:r>
      <w:r>
        <w:tab/>
      </w:r>
      <w:r>
        <w:tab/>
      </w:r>
      <w:r>
        <w:tab/>
        <w:t>IRMA MIRTHA G. GOUSSAL DE ZANAZZO</w:t>
      </w:r>
    </w:p>
    <w:p w:rsidR="008B4DD5" w:rsidRDefault="008B4DD5" w:rsidP="008B4DD5">
      <w:pPr>
        <w:jc w:val="center"/>
      </w:pPr>
      <w:r>
        <w:tab/>
      </w:r>
      <w:r>
        <w:tab/>
      </w:r>
      <w:r>
        <w:tab/>
      </w:r>
      <w:r>
        <w:tab/>
      </w:r>
      <w:r>
        <w:tab/>
      </w:r>
      <w:r>
        <w:tab/>
        <w:t>ABOGADA</w:t>
      </w:r>
    </w:p>
    <w:p w:rsidR="008B4DD5" w:rsidRDefault="008B4DD5" w:rsidP="008B4DD5">
      <w:pPr>
        <w:jc w:val="center"/>
      </w:pPr>
      <w:r>
        <w:tab/>
      </w:r>
      <w:r>
        <w:tab/>
      </w:r>
      <w:r>
        <w:tab/>
      </w:r>
      <w:r>
        <w:tab/>
      </w:r>
      <w:r>
        <w:tab/>
      </w:r>
      <w:r>
        <w:tab/>
        <w:t>DIRECTORA</w:t>
      </w:r>
    </w:p>
    <w:p w:rsidR="008B4DD5" w:rsidRDefault="008B4DD5" w:rsidP="008B4DD5">
      <w:pPr>
        <w:jc w:val="center"/>
      </w:pPr>
      <w:r>
        <w:tab/>
      </w:r>
      <w:r>
        <w:tab/>
      </w:r>
      <w:r>
        <w:tab/>
      </w:r>
      <w:r>
        <w:tab/>
      </w:r>
      <w:r>
        <w:tab/>
      </w:r>
      <w:r>
        <w:tab/>
        <w:t>REGISTRO DE LA PROPIEDAD INMUEBLE</w:t>
      </w: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2CE"/>
    <w:multiLevelType w:val="singleLevel"/>
    <w:tmpl w:val="1FC65FD6"/>
    <w:lvl w:ilvl="0">
      <w:start w:val="1"/>
      <w:numFmt w:val="decimal"/>
      <w:pStyle w:val="Ttulo2"/>
      <w:lvlText w:val="Art. %1."/>
      <w:lvlJc w:val="left"/>
      <w:pPr>
        <w:tabs>
          <w:tab w:val="num" w:pos="720"/>
        </w:tabs>
        <w:ind w:left="360" w:hanging="360"/>
      </w:pPr>
      <w:rPr>
        <w:b/>
        <w:i w:val="0"/>
        <w:sz w:val="24"/>
      </w:rPr>
    </w:lvl>
  </w:abstractNum>
  <w:abstractNum w:abstractNumId="1">
    <w:nsid w:val="59235769"/>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BC7A54"/>
    <w:rsid w:val="004746FA"/>
    <w:rsid w:val="00706FC7"/>
    <w:rsid w:val="008B4DD5"/>
    <w:rsid w:val="00956BA2"/>
    <w:rsid w:val="00A53D4D"/>
    <w:rsid w:val="00BC7A54"/>
    <w:rsid w:val="00BD1888"/>
    <w:rsid w:val="00F4442D"/>
    <w:rsid w:val="00F44AC8"/>
    <w:rsid w:val="00FE59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54"/>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C7A54"/>
    <w:pPr>
      <w:keepNext/>
      <w:ind w:firstLine="1985"/>
      <w:jc w:val="both"/>
      <w:outlineLvl w:val="0"/>
    </w:pPr>
    <w:rPr>
      <w:sz w:val="24"/>
    </w:rPr>
  </w:style>
  <w:style w:type="paragraph" w:styleId="Ttulo2">
    <w:name w:val="heading 2"/>
    <w:basedOn w:val="Normal"/>
    <w:next w:val="Normal"/>
    <w:link w:val="Ttulo2Car"/>
    <w:semiHidden/>
    <w:unhideWhenUsed/>
    <w:qFormat/>
    <w:rsid w:val="00BC7A54"/>
    <w:pPr>
      <w:keepNext/>
      <w:numPr>
        <w:numId w:val="1"/>
      </w:numPr>
      <w:ind w:right="51"/>
      <w:jc w:val="both"/>
      <w:outlineLvl w:val="1"/>
    </w:pPr>
    <w:rPr>
      <w:sz w:val="24"/>
    </w:rPr>
  </w:style>
  <w:style w:type="paragraph" w:styleId="Ttulo5">
    <w:name w:val="heading 5"/>
    <w:basedOn w:val="Normal"/>
    <w:next w:val="Normal"/>
    <w:link w:val="Ttulo5Car"/>
    <w:semiHidden/>
    <w:unhideWhenUsed/>
    <w:qFormat/>
    <w:rsid w:val="00BC7A54"/>
    <w:pPr>
      <w:keepNext/>
      <w:ind w:right="51"/>
      <w:jc w:val="both"/>
      <w:outlineLvl w:val="4"/>
    </w:pPr>
    <w:rPr>
      <w:sz w:val="24"/>
    </w:rPr>
  </w:style>
  <w:style w:type="paragraph" w:styleId="Ttulo6">
    <w:name w:val="heading 6"/>
    <w:basedOn w:val="Normal"/>
    <w:next w:val="Normal"/>
    <w:link w:val="Ttulo6Car"/>
    <w:semiHidden/>
    <w:unhideWhenUsed/>
    <w:qFormat/>
    <w:rsid w:val="00BC7A54"/>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7A54"/>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semiHidden/>
    <w:rsid w:val="00BC7A54"/>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BC7A54"/>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BC7A54"/>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semiHidden/>
    <w:unhideWhenUsed/>
    <w:rsid w:val="00BC7A54"/>
    <w:pPr>
      <w:ind w:right="51" w:firstLine="1985"/>
      <w:jc w:val="both"/>
    </w:pPr>
    <w:rPr>
      <w:sz w:val="24"/>
    </w:rPr>
  </w:style>
  <w:style w:type="character" w:customStyle="1" w:styleId="Sangra2detindependienteCar">
    <w:name w:val="Sangría 2 de t. independiente Car"/>
    <w:basedOn w:val="Fuentedeprrafopredeter"/>
    <w:link w:val="Sangra2detindependiente"/>
    <w:semiHidden/>
    <w:rsid w:val="00BC7A54"/>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12370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4</cp:revision>
  <dcterms:created xsi:type="dcterms:W3CDTF">2015-06-01T13:01:00Z</dcterms:created>
  <dcterms:modified xsi:type="dcterms:W3CDTF">2015-10-20T12:21:00Z</dcterms:modified>
</cp:coreProperties>
</file>