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BF" w:rsidRDefault="0074275E" w:rsidP="00B924BF">
      <w:pPr>
        <w:pStyle w:val="Ttulo5"/>
        <w:ind w:right="0" w:hanging="567"/>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16.7pt;width:37.9pt;height:56pt;z-index:251658240">
            <v:imagedata r:id="rId5" o:title=""/>
            <w10:wrap type="topAndBottom"/>
          </v:shape>
          <o:OLEObject Type="Embed" ProgID="PBrush" ShapeID="_x0000_s1027" DrawAspect="Content" ObjectID="_1506850008" r:id="rId6"/>
        </w:pict>
      </w:r>
      <w:r w:rsidR="00B924BF">
        <w:rPr>
          <w:rFonts w:ascii="Arial" w:hAnsi="Arial"/>
          <w:b/>
          <w:noProof/>
        </w:rPr>
        <w:t>PROVINCIA del CHACO</w:t>
      </w:r>
    </w:p>
    <w:p w:rsidR="00B924BF" w:rsidRDefault="00B924BF" w:rsidP="00B924BF">
      <w:pPr>
        <w:pStyle w:val="Ttulo6"/>
        <w:ind w:hanging="1418"/>
      </w:pPr>
      <w:r>
        <w:t xml:space="preserve">                 Ministerio de Gobierno, Justicia y Educación</w:t>
      </w:r>
    </w:p>
    <w:p w:rsidR="00B924BF" w:rsidRDefault="00B924BF" w:rsidP="00B924BF">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B924BF" w:rsidRDefault="00B924BF" w:rsidP="00B924BF">
      <w:pPr>
        <w:ind w:right="51"/>
        <w:jc w:val="right"/>
        <w:rPr>
          <w:sz w:val="24"/>
        </w:rPr>
      </w:pPr>
      <w:bookmarkStart w:id="0" w:name="_Hlt524920008"/>
      <w:bookmarkEnd w:id="0"/>
    </w:p>
    <w:p w:rsidR="00B924BF" w:rsidRDefault="00B924BF" w:rsidP="00B924BF">
      <w:pPr>
        <w:ind w:right="51"/>
        <w:jc w:val="right"/>
        <w:rPr>
          <w:sz w:val="16"/>
          <w:szCs w:val="16"/>
        </w:rPr>
      </w:pPr>
    </w:p>
    <w:p w:rsidR="00B924BF" w:rsidRPr="00956BA2" w:rsidRDefault="00B924BF" w:rsidP="00B924BF">
      <w:pPr>
        <w:ind w:right="51"/>
        <w:jc w:val="right"/>
        <w:rPr>
          <w:sz w:val="24"/>
          <w:szCs w:val="24"/>
        </w:rPr>
      </w:pPr>
      <w:bookmarkStart w:id="1" w:name="_Hlt67287078"/>
      <w:r>
        <w:rPr>
          <w:sz w:val="24"/>
          <w:szCs w:val="24"/>
        </w:rPr>
        <w:t>Resistencia, 16 de Noviembre de 1990</w:t>
      </w:r>
      <w:r w:rsidRPr="00956BA2">
        <w:rPr>
          <w:sz w:val="24"/>
          <w:szCs w:val="24"/>
        </w:rPr>
        <w:t>.</w:t>
      </w:r>
    </w:p>
    <w:p w:rsidR="00B924BF" w:rsidRPr="00956BA2" w:rsidRDefault="00B924BF" w:rsidP="00B924BF">
      <w:pPr>
        <w:ind w:right="51"/>
        <w:jc w:val="both"/>
        <w:rPr>
          <w:sz w:val="24"/>
          <w:szCs w:val="24"/>
        </w:rPr>
      </w:pPr>
      <w:bookmarkStart w:id="2" w:name="_Hlt3251497"/>
      <w:bookmarkStart w:id="3" w:name="NORMATIVA"/>
      <w:bookmarkEnd w:id="1"/>
      <w:bookmarkEnd w:id="2"/>
      <w:r w:rsidRPr="00956BA2">
        <w:rPr>
          <w:b/>
          <w:sz w:val="24"/>
          <w:szCs w:val="24"/>
          <w:u w:val="single"/>
        </w:rPr>
        <w:t>VISTO</w:t>
      </w:r>
      <w:bookmarkEnd w:id="3"/>
      <w:r w:rsidRPr="00956BA2">
        <w:rPr>
          <w:b/>
          <w:sz w:val="24"/>
          <w:szCs w:val="24"/>
          <w:u w:val="single"/>
        </w:rPr>
        <w:t>:</w:t>
      </w:r>
    </w:p>
    <w:p w:rsidR="00B924BF" w:rsidRPr="00956BA2" w:rsidRDefault="00B924BF" w:rsidP="00B924BF">
      <w:pPr>
        <w:pStyle w:val="Sangra2detindependiente"/>
        <w:rPr>
          <w:szCs w:val="24"/>
        </w:rPr>
      </w:pPr>
      <w:r>
        <w:rPr>
          <w:szCs w:val="24"/>
        </w:rPr>
        <w:t>La comunicación traída en Marzo de 1989, desde la Gerencia de Asuntos Legales del Banco Hipotecario Nacional, conteniendo el criterio adoptado en resolución expresa de dicha Institución en fecha 31 de Julio de 1987, con respecto a la “</w:t>
      </w:r>
      <w:proofErr w:type="spellStart"/>
      <w:r>
        <w:rPr>
          <w:szCs w:val="24"/>
        </w:rPr>
        <w:t>inembargabilidad</w:t>
      </w:r>
      <w:proofErr w:type="spellEnd"/>
      <w:r>
        <w:rPr>
          <w:szCs w:val="24"/>
        </w:rPr>
        <w:t xml:space="preserve">” </w:t>
      </w:r>
      <w:proofErr w:type="spellStart"/>
      <w:r>
        <w:rPr>
          <w:szCs w:val="24"/>
        </w:rPr>
        <w:t>incluída</w:t>
      </w:r>
      <w:proofErr w:type="spellEnd"/>
      <w:r>
        <w:rPr>
          <w:szCs w:val="24"/>
        </w:rPr>
        <w:t xml:space="preserve"> en las hipotecas que garantizan a ese Banco, la devolución de los préstamos que concede según la ley orgánica</w:t>
      </w:r>
      <w:r w:rsidRPr="00956BA2">
        <w:rPr>
          <w:szCs w:val="24"/>
        </w:rPr>
        <w:t>, y;</w:t>
      </w:r>
    </w:p>
    <w:p w:rsidR="00B924BF" w:rsidRPr="00956BA2" w:rsidRDefault="00B924BF" w:rsidP="00B924BF">
      <w:pPr>
        <w:pStyle w:val="Sangra2detindependiente"/>
        <w:rPr>
          <w:sz w:val="16"/>
          <w:szCs w:val="16"/>
        </w:rPr>
      </w:pPr>
    </w:p>
    <w:p w:rsidR="00B924BF" w:rsidRPr="00956BA2" w:rsidRDefault="00B924BF" w:rsidP="00B924BF">
      <w:pPr>
        <w:ind w:right="51"/>
        <w:jc w:val="both"/>
        <w:rPr>
          <w:b/>
          <w:sz w:val="24"/>
          <w:szCs w:val="24"/>
          <w:u w:val="single"/>
        </w:rPr>
      </w:pPr>
      <w:r w:rsidRPr="00956BA2">
        <w:rPr>
          <w:b/>
          <w:sz w:val="24"/>
          <w:szCs w:val="24"/>
          <w:u w:val="single"/>
        </w:rPr>
        <w:t>CONSIDERANDO:</w:t>
      </w:r>
    </w:p>
    <w:p w:rsidR="00B924BF" w:rsidRPr="00956BA2" w:rsidRDefault="00B924BF" w:rsidP="00B924BF">
      <w:pPr>
        <w:ind w:right="51" w:firstLine="1985"/>
        <w:jc w:val="both"/>
        <w:rPr>
          <w:sz w:val="24"/>
          <w:szCs w:val="24"/>
        </w:rPr>
      </w:pPr>
      <w:r>
        <w:rPr>
          <w:sz w:val="24"/>
          <w:szCs w:val="24"/>
        </w:rPr>
        <w:t xml:space="preserve">Que dicha resolución dispone en su punto 2º) se gestione la subsistencia de la “cláusula de </w:t>
      </w:r>
      <w:proofErr w:type="spellStart"/>
      <w:r>
        <w:rPr>
          <w:sz w:val="24"/>
          <w:szCs w:val="24"/>
        </w:rPr>
        <w:t>inembargabilidad</w:t>
      </w:r>
      <w:proofErr w:type="spellEnd"/>
      <w:r>
        <w:rPr>
          <w:sz w:val="24"/>
          <w:szCs w:val="24"/>
        </w:rPr>
        <w:t>”, no obstante la cancelación de la hipoteca mientras el dominio permanezca en cabeza del beneficiario del préstamo garantizado.</w:t>
      </w:r>
    </w:p>
    <w:p w:rsidR="00045047" w:rsidRDefault="00045047" w:rsidP="00B924BF">
      <w:pPr>
        <w:ind w:right="51" w:firstLine="1985"/>
        <w:jc w:val="both"/>
        <w:rPr>
          <w:sz w:val="24"/>
          <w:szCs w:val="24"/>
        </w:rPr>
      </w:pPr>
      <w:r>
        <w:rPr>
          <w:sz w:val="24"/>
          <w:szCs w:val="24"/>
        </w:rPr>
        <w:t>Que ha sido la doctrina del fallo “</w:t>
      </w:r>
      <w:proofErr w:type="spellStart"/>
      <w:r>
        <w:rPr>
          <w:sz w:val="24"/>
          <w:szCs w:val="24"/>
        </w:rPr>
        <w:t>Jaralambides</w:t>
      </w:r>
      <w:proofErr w:type="spellEnd"/>
      <w:r>
        <w:rPr>
          <w:sz w:val="24"/>
          <w:szCs w:val="24"/>
        </w:rPr>
        <w:t xml:space="preserve"> c/ Pereira Rocha </w:t>
      </w:r>
      <w:proofErr w:type="gramStart"/>
      <w:r>
        <w:rPr>
          <w:sz w:val="24"/>
          <w:szCs w:val="24"/>
        </w:rPr>
        <w:t>de …</w:t>
      </w:r>
      <w:proofErr w:type="gramEnd"/>
      <w:r>
        <w:rPr>
          <w:sz w:val="24"/>
          <w:szCs w:val="24"/>
        </w:rPr>
        <w:t>”, dictado por la Corte Suprema de Justicia de la Nación con fecha 30 de Octubre de 1986, el fundamento seguido para fijar tal interpretación sobre la “vigencia” de esas cláusulas de amparo al adquirente según expresa el Alto Tribunal.</w:t>
      </w:r>
    </w:p>
    <w:p w:rsidR="00045047" w:rsidRDefault="00045047" w:rsidP="00B924BF">
      <w:pPr>
        <w:ind w:right="51" w:firstLine="1985"/>
        <w:jc w:val="both"/>
        <w:rPr>
          <w:sz w:val="24"/>
          <w:szCs w:val="24"/>
        </w:rPr>
      </w:pPr>
      <w:r>
        <w:rPr>
          <w:sz w:val="24"/>
          <w:szCs w:val="24"/>
        </w:rPr>
        <w:t>Que en el ámbito registral los asientos tienen el alcance que les fijan las leyes que los establecen (</w:t>
      </w:r>
      <w:proofErr w:type="spellStart"/>
      <w:r>
        <w:rPr>
          <w:sz w:val="24"/>
          <w:szCs w:val="24"/>
        </w:rPr>
        <w:t>doctr</w:t>
      </w:r>
      <w:proofErr w:type="spellEnd"/>
      <w:r>
        <w:rPr>
          <w:sz w:val="24"/>
          <w:szCs w:val="24"/>
        </w:rPr>
        <w:t xml:space="preserve">. Arts. 2,3 y </w:t>
      </w:r>
      <w:proofErr w:type="spellStart"/>
      <w:r>
        <w:rPr>
          <w:sz w:val="24"/>
          <w:szCs w:val="24"/>
        </w:rPr>
        <w:t>ccds</w:t>
      </w:r>
      <w:proofErr w:type="spellEnd"/>
      <w:r>
        <w:rPr>
          <w:sz w:val="24"/>
          <w:szCs w:val="24"/>
        </w:rPr>
        <w:t xml:space="preserve">. Ley 17.801), para lo cual resulta menester –cuando se originan en documentos de origen notarial o administrativos-, que se determinen esos alcances en la solicitud o “rogación” que precede a su toma de razón como principio eliminar del sistema (art. 6 y </w:t>
      </w:r>
      <w:proofErr w:type="spellStart"/>
      <w:r>
        <w:rPr>
          <w:sz w:val="24"/>
          <w:szCs w:val="24"/>
        </w:rPr>
        <w:t>doctr</w:t>
      </w:r>
      <w:proofErr w:type="spellEnd"/>
      <w:r>
        <w:rPr>
          <w:sz w:val="24"/>
          <w:szCs w:val="24"/>
        </w:rPr>
        <w:t xml:space="preserve">. Ley 17.801). </w:t>
      </w:r>
    </w:p>
    <w:p w:rsidR="00045047" w:rsidRDefault="00045047" w:rsidP="00B924BF">
      <w:pPr>
        <w:ind w:right="51" w:firstLine="1985"/>
        <w:jc w:val="both"/>
        <w:rPr>
          <w:sz w:val="24"/>
          <w:szCs w:val="24"/>
        </w:rPr>
      </w:pPr>
      <w:r>
        <w:rPr>
          <w:sz w:val="24"/>
          <w:szCs w:val="24"/>
        </w:rPr>
        <w:t>Que en tal sentido cabe armonizar en consecuencia los procedimientos de la propia Institución Bancaria para el logro de los fines que se ha fijado, establecido para las hipotecas ya inscriptas que en el momento de “cancelarlas” junto al documento extintivo que se trae, se acompañe solicitud expresa que indique la “s</w:t>
      </w:r>
      <w:r w:rsidR="00D80EC5">
        <w:rPr>
          <w:sz w:val="24"/>
          <w:szCs w:val="24"/>
        </w:rPr>
        <w:t>ubsistencia” de la referida cláu</w:t>
      </w:r>
      <w:r>
        <w:rPr>
          <w:sz w:val="24"/>
          <w:szCs w:val="24"/>
        </w:rPr>
        <w:t>sula, independizando en el asiento lo que es cancelado de lo que permanece vigente.</w:t>
      </w:r>
    </w:p>
    <w:p w:rsidR="00322159" w:rsidRDefault="00322159" w:rsidP="00B924BF">
      <w:pPr>
        <w:ind w:right="51" w:firstLine="1985"/>
        <w:jc w:val="both"/>
        <w:rPr>
          <w:sz w:val="24"/>
          <w:szCs w:val="24"/>
        </w:rPr>
      </w:pPr>
      <w:r>
        <w:rPr>
          <w:sz w:val="24"/>
          <w:szCs w:val="24"/>
        </w:rPr>
        <w:t>Que a su vez para el futuro, el asiento de dichas “clausulas legales” ha de efectuarse por medio de rogación expresa e independiente de la relativa al derecho real de “hipoteca”, al que se agregan.</w:t>
      </w:r>
    </w:p>
    <w:p w:rsidR="00322159" w:rsidRDefault="00322159" w:rsidP="00B924BF">
      <w:pPr>
        <w:ind w:right="51" w:firstLine="1985"/>
        <w:jc w:val="both"/>
        <w:rPr>
          <w:sz w:val="24"/>
          <w:szCs w:val="24"/>
        </w:rPr>
      </w:pPr>
      <w:r>
        <w:rPr>
          <w:sz w:val="24"/>
          <w:szCs w:val="24"/>
        </w:rPr>
        <w:t xml:space="preserve">Que a su turno, y por las vías de diferente naturaleza que existen para los casos de “cancelación” de “notas o clausulas” (art. 33 2º) </w:t>
      </w:r>
      <w:proofErr w:type="spellStart"/>
      <w:r>
        <w:rPr>
          <w:sz w:val="24"/>
          <w:szCs w:val="24"/>
        </w:rPr>
        <w:t>pte</w:t>
      </w:r>
      <w:proofErr w:type="spellEnd"/>
      <w:r>
        <w:rPr>
          <w:sz w:val="24"/>
          <w:szCs w:val="24"/>
        </w:rPr>
        <w:t xml:space="preserve">. </w:t>
      </w:r>
      <w:proofErr w:type="gramStart"/>
      <w:r>
        <w:rPr>
          <w:sz w:val="24"/>
          <w:szCs w:val="24"/>
        </w:rPr>
        <w:t>y</w:t>
      </w:r>
      <w:proofErr w:type="gramEnd"/>
      <w:r>
        <w:rPr>
          <w:sz w:val="24"/>
          <w:szCs w:val="24"/>
        </w:rPr>
        <w:t xml:space="preserve"> </w:t>
      </w:r>
      <w:proofErr w:type="spellStart"/>
      <w:r>
        <w:rPr>
          <w:sz w:val="24"/>
          <w:szCs w:val="24"/>
        </w:rPr>
        <w:t>Doctr</w:t>
      </w:r>
      <w:proofErr w:type="spellEnd"/>
      <w:r>
        <w:rPr>
          <w:sz w:val="24"/>
          <w:szCs w:val="24"/>
        </w:rPr>
        <w:t>. Ley</w:t>
      </w:r>
      <w:r w:rsidR="00045047">
        <w:rPr>
          <w:sz w:val="24"/>
          <w:szCs w:val="24"/>
        </w:rPr>
        <w:t xml:space="preserve"> </w:t>
      </w:r>
      <w:r>
        <w:rPr>
          <w:sz w:val="24"/>
          <w:szCs w:val="24"/>
        </w:rPr>
        <w:t xml:space="preserve">17.801), se </w:t>
      </w:r>
      <w:proofErr w:type="spellStart"/>
      <w:r>
        <w:rPr>
          <w:sz w:val="24"/>
          <w:szCs w:val="24"/>
        </w:rPr>
        <w:t>recepcionarán</w:t>
      </w:r>
      <w:proofErr w:type="spellEnd"/>
      <w:r>
        <w:rPr>
          <w:sz w:val="24"/>
          <w:szCs w:val="24"/>
        </w:rPr>
        <w:t xml:space="preserve"> las solicitudes de cancelación de tales clausulas, sin que corresponda al registrador la valoración de la causa que dio origen a tal petición (art. 8 y </w:t>
      </w:r>
      <w:proofErr w:type="spellStart"/>
      <w:r>
        <w:rPr>
          <w:sz w:val="24"/>
          <w:szCs w:val="24"/>
        </w:rPr>
        <w:t>doctr</w:t>
      </w:r>
      <w:proofErr w:type="spellEnd"/>
      <w:r>
        <w:rPr>
          <w:sz w:val="24"/>
          <w:szCs w:val="24"/>
        </w:rPr>
        <w:t>. 17.801).</w:t>
      </w:r>
    </w:p>
    <w:p w:rsidR="00B924BF" w:rsidRPr="00322159" w:rsidRDefault="00322159" w:rsidP="00B924BF">
      <w:pPr>
        <w:ind w:right="51" w:firstLine="1985"/>
        <w:jc w:val="both"/>
        <w:rPr>
          <w:b/>
          <w:sz w:val="24"/>
          <w:szCs w:val="24"/>
          <w:u w:val="single"/>
        </w:rPr>
      </w:pPr>
      <w:r w:rsidRPr="00322159">
        <w:rPr>
          <w:b/>
          <w:sz w:val="24"/>
          <w:szCs w:val="24"/>
          <w:u w:val="single"/>
        </w:rPr>
        <w:t xml:space="preserve">POR ELLO: </w:t>
      </w:r>
      <w:r w:rsidR="00B924BF" w:rsidRPr="00322159">
        <w:rPr>
          <w:b/>
          <w:sz w:val="24"/>
          <w:szCs w:val="24"/>
          <w:u w:val="single"/>
        </w:rPr>
        <w:t xml:space="preserve">   </w:t>
      </w:r>
    </w:p>
    <w:p w:rsidR="00B924BF" w:rsidRPr="00956BA2" w:rsidRDefault="00B924BF" w:rsidP="00B924BF">
      <w:pPr>
        <w:ind w:right="51"/>
        <w:jc w:val="center"/>
        <w:rPr>
          <w:sz w:val="16"/>
          <w:szCs w:val="16"/>
        </w:rPr>
      </w:pPr>
      <w:bookmarkStart w:id="4" w:name="_Hlt19932522"/>
      <w:bookmarkEnd w:id="4"/>
    </w:p>
    <w:p w:rsidR="00B924BF" w:rsidRPr="00956BA2" w:rsidRDefault="00322159" w:rsidP="00B924BF">
      <w:pPr>
        <w:ind w:right="51"/>
        <w:jc w:val="center"/>
        <w:rPr>
          <w:b/>
          <w:sz w:val="24"/>
          <w:szCs w:val="24"/>
        </w:rPr>
      </w:pPr>
      <w:r>
        <w:rPr>
          <w:b/>
          <w:sz w:val="24"/>
          <w:szCs w:val="24"/>
        </w:rPr>
        <w:t xml:space="preserve"> LA DIRECTORA </w:t>
      </w:r>
      <w:r w:rsidR="00B924BF" w:rsidRPr="00956BA2">
        <w:rPr>
          <w:b/>
          <w:sz w:val="24"/>
          <w:szCs w:val="24"/>
        </w:rPr>
        <w:t>DEL REGISTRO DE LA PROPIEDAD INMUEBLE</w:t>
      </w:r>
    </w:p>
    <w:p w:rsidR="00B924BF" w:rsidRPr="00956BA2" w:rsidRDefault="00B924BF" w:rsidP="00B924BF">
      <w:pPr>
        <w:ind w:right="51"/>
        <w:jc w:val="center"/>
        <w:rPr>
          <w:b/>
          <w:sz w:val="24"/>
          <w:szCs w:val="24"/>
          <w:u w:val="single"/>
        </w:rPr>
      </w:pPr>
      <w:r w:rsidRPr="00956BA2">
        <w:rPr>
          <w:b/>
          <w:sz w:val="24"/>
          <w:szCs w:val="24"/>
          <w:u w:val="single"/>
        </w:rPr>
        <w:t xml:space="preserve">D I S P O N E </w:t>
      </w:r>
    </w:p>
    <w:p w:rsidR="00B924BF" w:rsidRPr="00956BA2" w:rsidRDefault="00B924BF" w:rsidP="00B924BF">
      <w:pPr>
        <w:ind w:right="51"/>
        <w:jc w:val="center"/>
        <w:rPr>
          <w:b/>
          <w:sz w:val="16"/>
          <w:szCs w:val="16"/>
          <w:u w:val="single"/>
        </w:rPr>
      </w:pPr>
    </w:p>
    <w:p w:rsidR="00B924BF" w:rsidRDefault="00322159" w:rsidP="00B924BF">
      <w:pPr>
        <w:numPr>
          <w:ilvl w:val="0"/>
          <w:numId w:val="2"/>
        </w:numPr>
        <w:ind w:right="51"/>
        <w:jc w:val="both"/>
        <w:rPr>
          <w:sz w:val="24"/>
          <w:szCs w:val="24"/>
        </w:rPr>
      </w:pPr>
      <w:r>
        <w:rPr>
          <w:sz w:val="24"/>
          <w:szCs w:val="24"/>
        </w:rPr>
        <w:t xml:space="preserve">Para la subsistencia de la vigencia de las clausulas de </w:t>
      </w:r>
      <w:proofErr w:type="spellStart"/>
      <w:r>
        <w:rPr>
          <w:sz w:val="24"/>
          <w:szCs w:val="24"/>
        </w:rPr>
        <w:t>inembargabilidad</w:t>
      </w:r>
      <w:proofErr w:type="spellEnd"/>
      <w:r>
        <w:rPr>
          <w:sz w:val="24"/>
          <w:szCs w:val="24"/>
        </w:rPr>
        <w:t xml:space="preserve"> registradas a la fecha en forma conjunta con hipotecas a favor del Banco </w:t>
      </w:r>
      <w:r>
        <w:rPr>
          <w:sz w:val="24"/>
          <w:szCs w:val="24"/>
        </w:rPr>
        <w:lastRenderedPageBreak/>
        <w:t xml:space="preserve">Hipotecario Nacional, de conformidad a lo establecido en el </w:t>
      </w:r>
      <w:proofErr w:type="spellStart"/>
      <w:r>
        <w:rPr>
          <w:sz w:val="24"/>
          <w:szCs w:val="24"/>
        </w:rPr>
        <w:t>Dec</w:t>
      </w:r>
      <w:proofErr w:type="spellEnd"/>
      <w:r>
        <w:rPr>
          <w:sz w:val="24"/>
          <w:szCs w:val="24"/>
        </w:rPr>
        <w:t xml:space="preserve">. Ley 13.128/57 y Ley 22.232, junto con la solicitud de cancelación de la hipoteca, se presentará una solicitud expresa de “subsistencia” en la forma de estilo. En tal caso, en el asiento </w:t>
      </w:r>
      <w:r w:rsidR="00B031D1">
        <w:rPr>
          <w:sz w:val="24"/>
          <w:szCs w:val="24"/>
        </w:rPr>
        <w:t xml:space="preserve">respectivo se consignará la siguiente nota: “Subsiste clausula de </w:t>
      </w:r>
      <w:proofErr w:type="spellStart"/>
      <w:r w:rsidR="00B031D1">
        <w:rPr>
          <w:sz w:val="24"/>
          <w:szCs w:val="24"/>
        </w:rPr>
        <w:t>inembargabilidad</w:t>
      </w:r>
      <w:proofErr w:type="spellEnd"/>
      <w:r w:rsidR="00B031D1">
        <w:rPr>
          <w:sz w:val="24"/>
          <w:szCs w:val="24"/>
        </w:rPr>
        <w:t>”.</w:t>
      </w:r>
    </w:p>
    <w:p w:rsidR="00B031D1" w:rsidRPr="00322159" w:rsidRDefault="00B031D1" w:rsidP="00B924BF">
      <w:pPr>
        <w:numPr>
          <w:ilvl w:val="0"/>
          <w:numId w:val="2"/>
        </w:numPr>
        <w:ind w:right="51"/>
        <w:jc w:val="both"/>
        <w:rPr>
          <w:sz w:val="24"/>
          <w:szCs w:val="24"/>
        </w:rPr>
      </w:pPr>
      <w:r>
        <w:rPr>
          <w:sz w:val="24"/>
          <w:szCs w:val="24"/>
        </w:rPr>
        <w:t xml:space="preserve">En la toma de razón de hipotecas con clausulas de </w:t>
      </w:r>
      <w:proofErr w:type="spellStart"/>
      <w:r>
        <w:rPr>
          <w:sz w:val="24"/>
          <w:szCs w:val="24"/>
        </w:rPr>
        <w:t>inembargabilidad</w:t>
      </w:r>
      <w:proofErr w:type="spellEnd"/>
      <w:r>
        <w:rPr>
          <w:sz w:val="24"/>
          <w:szCs w:val="24"/>
        </w:rPr>
        <w:t>, a favor del Banco Hipotecario Nacional, se requerirá la presentación de solicitudes por cada uno de dichos derechos, debiendo confeccionarse también separadamente los respectivos asientos.</w:t>
      </w:r>
    </w:p>
    <w:p w:rsidR="00B924BF" w:rsidRPr="00956BA2" w:rsidRDefault="00B031D1" w:rsidP="00B924BF">
      <w:pPr>
        <w:pStyle w:val="Ttulo2"/>
        <w:numPr>
          <w:ilvl w:val="0"/>
          <w:numId w:val="2"/>
        </w:numPr>
        <w:rPr>
          <w:szCs w:val="24"/>
        </w:rPr>
      </w:pPr>
      <w:r>
        <w:rPr>
          <w:szCs w:val="24"/>
        </w:rPr>
        <w:t>DE FORMA.-</w:t>
      </w:r>
    </w:p>
    <w:p w:rsidR="00B924BF" w:rsidRPr="00956BA2" w:rsidRDefault="00B924BF" w:rsidP="00B924BF">
      <w:pPr>
        <w:ind w:right="51"/>
        <w:jc w:val="both"/>
        <w:rPr>
          <w:sz w:val="16"/>
          <w:szCs w:val="16"/>
        </w:rPr>
      </w:pPr>
    </w:p>
    <w:p w:rsidR="00B924BF" w:rsidRPr="00956BA2" w:rsidRDefault="00B924BF" w:rsidP="00B924BF">
      <w:pPr>
        <w:rPr>
          <w:b/>
          <w:sz w:val="24"/>
          <w:szCs w:val="24"/>
          <w:u w:val="single"/>
        </w:rPr>
      </w:pPr>
      <w:r w:rsidRPr="00956BA2">
        <w:rPr>
          <w:b/>
          <w:sz w:val="24"/>
          <w:szCs w:val="24"/>
          <w:u w:val="single"/>
        </w:rPr>
        <w:t>DI</w:t>
      </w:r>
      <w:r w:rsidR="00B031D1">
        <w:rPr>
          <w:b/>
          <w:sz w:val="24"/>
          <w:szCs w:val="24"/>
          <w:u w:val="single"/>
        </w:rPr>
        <w:t>SPOSICIÓN INTERNA TECNICO REGISTRAL Nº07</w:t>
      </w:r>
      <w:r w:rsidRPr="00956BA2">
        <w:rPr>
          <w:b/>
          <w:sz w:val="24"/>
          <w:szCs w:val="24"/>
          <w:u w:val="single"/>
        </w:rPr>
        <w:t>.</w:t>
      </w:r>
      <w:r w:rsidR="00B031D1">
        <w:rPr>
          <w:b/>
          <w:sz w:val="24"/>
          <w:szCs w:val="24"/>
          <w:u w:val="single"/>
        </w:rPr>
        <w:t>-</w:t>
      </w:r>
    </w:p>
    <w:p w:rsidR="00B924BF" w:rsidRDefault="00B924BF" w:rsidP="00B924BF"/>
    <w:p w:rsidR="00B924BF" w:rsidRDefault="00B924BF" w:rsidP="00B924BF"/>
    <w:p w:rsidR="000E6979" w:rsidRDefault="000E6979" w:rsidP="000E6979">
      <w:pPr>
        <w:ind w:left="3828"/>
        <w:jc w:val="center"/>
        <w:rPr>
          <w:sz w:val="24"/>
          <w:szCs w:val="24"/>
        </w:rPr>
      </w:pPr>
      <w:r>
        <w:rPr>
          <w:sz w:val="24"/>
          <w:szCs w:val="24"/>
        </w:rPr>
        <w:t>DRA. GLADYS YOLANDA CABRAL</w:t>
      </w:r>
    </w:p>
    <w:p w:rsidR="000E6979" w:rsidRDefault="000E6979" w:rsidP="000E6979">
      <w:pPr>
        <w:ind w:left="3828"/>
        <w:jc w:val="center"/>
        <w:rPr>
          <w:sz w:val="24"/>
          <w:szCs w:val="24"/>
        </w:rPr>
      </w:pPr>
      <w:r>
        <w:rPr>
          <w:sz w:val="24"/>
          <w:szCs w:val="24"/>
        </w:rPr>
        <w:t>DIRECTORA GENERAL</w:t>
      </w:r>
    </w:p>
    <w:p w:rsidR="000E6979" w:rsidRDefault="000E6979" w:rsidP="000E6979">
      <w:pPr>
        <w:ind w:left="3828"/>
        <w:jc w:val="center"/>
        <w:rPr>
          <w:sz w:val="24"/>
          <w:szCs w:val="24"/>
        </w:rPr>
      </w:pPr>
      <w:r>
        <w:rPr>
          <w:sz w:val="24"/>
          <w:szCs w:val="24"/>
        </w:rPr>
        <w:t>REGISTRO DE LA PROPIEDAD INMUEBLE</w:t>
      </w:r>
    </w:p>
    <w:p w:rsidR="00F44AC8" w:rsidRPr="00B924BF" w:rsidRDefault="00F44AC8" w:rsidP="00B924BF"/>
    <w:sectPr w:rsidR="00F44AC8" w:rsidRPr="00B924BF"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2CE"/>
    <w:multiLevelType w:val="singleLevel"/>
    <w:tmpl w:val="1FC65FD6"/>
    <w:lvl w:ilvl="0">
      <w:start w:val="1"/>
      <w:numFmt w:val="decimal"/>
      <w:pStyle w:val="Ttulo2"/>
      <w:lvlText w:val="Art. %1."/>
      <w:lvlJc w:val="left"/>
      <w:pPr>
        <w:tabs>
          <w:tab w:val="num" w:pos="720"/>
        </w:tabs>
        <w:ind w:left="360" w:hanging="360"/>
      </w:pPr>
      <w:rPr>
        <w:b/>
        <w:i w:val="0"/>
        <w:sz w:val="24"/>
      </w:rPr>
    </w:lvl>
  </w:abstractNum>
  <w:abstractNum w:abstractNumId="1">
    <w:nsid w:val="59235769"/>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B924BF"/>
    <w:rsid w:val="00045047"/>
    <w:rsid w:val="000E6979"/>
    <w:rsid w:val="00322159"/>
    <w:rsid w:val="00721E8D"/>
    <w:rsid w:val="0074275E"/>
    <w:rsid w:val="00B031D1"/>
    <w:rsid w:val="00B924BF"/>
    <w:rsid w:val="00D72B26"/>
    <w:rsid w:val="00D80EC5"/>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BF"/>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924BF"/>
    <w:pPr>
      <w:keepNext/>
      <w:ind w:firstLine="1985"/>
      <w:jc w:val="both"/>
      <w:outlineLvl w:val="0"/>
    </w:pPr>
    <w:rPr>
      <w:sz w:val="24"/>
    </w:rPr>
  </w:style>
  <w:style w:type="paragraph" w:styleId="Ttulo2">
    <w:name w:val="heading 2"/>
    <w:basedOn w:val="Normal"/>
    <w:next w:val="Normal"/>
    <w:link w:val="Ttulo2Car"/>
    <w:semiHidden/>
    <w:unhideWhenUsed/>
    <w:qFormat/>
    <w:rsid w:val="00B924BF"/>
    <w:pPr>
      <w:keepNext/>
      <w:numPr>
        <w:numId w:val="1"/>
      </w:numPr>
      <w:ind w:right="51"/>
      <w:jc w:val="both"/>
      <w:outlineLvl w:val="1"/>
    </w:pPr>
    <w:rPr>
      <w:sz w:val="24"/>
    </w:rPr>
  </w:style>
  <w:style w:type="paragraph" w:styleId="Ttulo5">
    <w:name w:val="heading 5"/>
    <w:basedOn w:val="Normal"/>
    <w:next w:val="Normal"/>
    <w:link w:val="Ttulo5Car"/>
    <w:semiHidden/>
    <w:unhideWhenUsed/>
    <w:qFormat/>
    <w:rsid w:val="00B924BF"/>
    <w:pPr>
      <w:keepNext/>
      <w:ind w:right="51"/>
      <w:jc w:val="both"/>
      <w:outlineLvl w:val="4"/>
    </w:pPr>
    <w:rPr>
      <w:sz w:val="24"/>
    </w:rPr>
  </w:style>
  <w:style w:type="paragraph" w:styleId="Ttulo6">
    <w:name w:val="heading 6"/>
    <w:basedOn w:val="Normal"/>
    <w:next w:val="Normal"/>
    <w:link w:val="Ttulo6Car"/>
    <w:semiHidden/>
    <w:unhideWhenUsed/>
    <w:qFormat/>
    <w:rsid w:val="00B924BF"/>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24B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semiHidden/>
    <w:rsid w:val="00B924BF"/>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B924BF"/>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B924BF"/>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B924BF"/>
    <w:pPr>
      <w:ind w:right="51" w:firstLine="1985"/>
      <w:jc w:val="both"/>
    </w:pPr>
    <w:rPr>
      <w:sz w:val="24"/>
    </w:rPr>
  </w:style>
  <w:style w:type="character" w:customStyle="1" w:styleId="Sangra2detindependienteCar">
    <w:name w:val="Sangría 2 de t. independiente Car"/>
    <w:basedOn w:val="Fuentedeprrafopredeter"/>
    <w:link w:val="Sangra2detindependiente"/>
    <w:semiHidden/>
    <w:rsid w:val="00B924BF"/>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127281104">
      <w:bodyDiv w:val="1"/>
      <w:marLeft w:val="0"/>
      <w:marRight w:val="0"/>
      <w:marTop w:val="0"/>
      <w:marBottom w:val="0"/>
      <w:divBdr>
        <w:top w:val="none" w:sz="0" w:space="0" w:color="auto"/>
        <w:left w:val="none" w:sz="0" w:space="0" w:color="auto"/>
        <w:bottom w:val="none" w:sz="0" w:space="0" w:color="auto"/>
        <w:right w:val="none" w:sz="0" w:space="0" w:color="auto"/>
      </w:divBdr>
    </w:div>
    <w:div w:id="72923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biblioteca3</cp:lastModifiedBy>
  <cp:revision>3</cp:revision>
  <cp:lastPrinted>2015-10-20T15:37:00Z</cp:lastPrinted>
  <dcterms:created xsi:type="dcterms:W3CDTF">2015-06-04T13:28:00Z</dcterms:created>
  <dcterms:modified xsi:type="dcterms:W3CDTF">2015-10-20T15:40:00Z</dcterms:modified>
</cp:coreProperties>
</file>