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8A9" w:rsidRPr="00AC7190" w:rsidRDefault="00AF48A9" w:rsidP="00AF48A9">
      <w:pPr>
        <w:ind w:right="3878"/>
        <w:rPr>
          <w:rFonts w:ascii="Arial" w:hAnsi="Arial" w:cs="Arial"/>
          <w:b/>
        </w:rPr>
      </w:pPr>
      <w:r w:rsidRPr="00AC7190">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5pt;margin-top:-36.8pt;width:37.9pt;height:56pt;z-index:251660288">
            <v:imagedata r:id="rId5" o:title=""/>
            <w10:wrap type="topAndBottom"/>
          </v:shape>
          <o:OLEObject Type="Embed" ProgID="PBrush" ShapeID="_x0000_s1026" DrawAspect="Content" ObjectID="_1541304558" r:id="rId6"/>
        </w:pict>
      </w:r>
      <w:r w:rsidRPr="00AC7190">
        <w:rPr>
          <w:rFonts w:ascii="Arial" w:hAnsi="Arial" w:cs="Arial"/>
          <w:b/>
          <w:noProof/>
        </w:rPr>
        <w:t>PROVINCIA del CHACO</w:t>
      </w:r>
    </w:p>
    <w:p w:rsidR="00AF48A9" w:rsidRPr="00AC7190" w:rsidRDefault="00AF48A9" w:rsidP="00AF48A9">
      <w:pPr>
        <w:pStyle w:val="Ttulo6"/>
        <w:rPr>
          <w:rFonts w:cs="Arial"/>
        </w:rPr>
      </w:pPr>
      <w:r w:rsidRPr="00AC7190">
        <w:rPr>
          <w:rFonts w:cs="Arial"/>
        </w:rPr>
        <w:t>Ministerio de Gobierno, Justicia y Relación</w:t>
      </w:r>
    </w:p>
    <w:p w:rsidR="00AF48A9" w:rsidRDefault="00AF48A9" w:rsidP="00AF48A9">
      <w:pPr>
        <w:rPr>
          <w:rFonts w:ascii="Arial" w:hAnsi="Arial" w:cs="Arial"/>
          <w:b/>
          <w:i/>
          <w:sz w:val="20"/>
          <w:szCs w:val="20"/>
        </w:rPr>
      </w:pPr>
      <w:r>
        <w:rPr>
          <w:rFonts w:ascii="Arial" w:hAnsi="Arial" w:cs="Arial"/>
          <w:b/>
          <w:i/>
          <w:sz w:val="20"/>
          <w:szCs w:val="20"/>
        </w:rPr>
        <w:t xml:space="preserve">        </w:t>
      </w:r>
      <w:r w:rsidRPr="00AC7190">
        <w:rPr>
          <w:rFonts w:ascii="Arial" w:hAnsi="Arial" w:cs="Arial"/>
          <w:b/>
          <w:i/>
          <w:sz w:val="20"/>
          <w:szCs w:val="20"/>
        </w:rPr>
        <w:t>Con la comunidad</w:t>
      </w:r>
    </w:p>
    <w:p w:rsidR="00AF48A9" w:rsidRPr="00AC7190" w:rsidRDefault="00AF48A9" w:rsidP="00AF48A9">
      <w:pPr>
        <w:rPr>
          <w:rFonts w:ascii="Arial" w:hAnsi="Arial" w:cs="Arial"/>
          <w:b/>
          <w:i/>
          <w:sz w:val="20"/>
          <w:szCs w:val="20"/>
        </w:rPr>
      </w:pPr>
      <w:r>
        <w:rPr>
          <w:rFonts w:ascii="Arial Black" w:hAnsi="Arial Black"/>
          <w:b/>
          <w:i/>
          <w:sz w:val="16"/>
        </w:rPr>
        <w:t>Registro de la Propiedad Inmueble</w:t>
      </w:r>
      <w:r>
        <w:rPr>
          <w:rFonts w:ascii="Arial" w:hAnsi="Arial" w:cs="Arial"/>
          <w:b/>
          <w:i/>
        </w:rPr>
        <w:t xml:space="preserve">, </w:t>
      </w:r>
      <w:r w:rsidRPr="00A84024">
        <w:rPr>
          <w:rFonts w:ascii="Arial Black" w:hAnsi="Arial Black"/>
          <w:b/>
          <w:i/>
          <w:sz w:val="16"/>
          <w:szCs w:val="16"/>
        </w:rPr>
        <w:t>Resistencia</w:t>
      </w:r>
    </w:p>
    <w:p w:rsidR="00AF48A9" w:rsidRDefault="00AF48A9" w:rsidP="00AF48A9">
      <w:pPr>
        <w:pStyle w:val="Ttulo1"/>
        <w:ind w:left="-709" w:right="5958" w:hanging="551"/>
        <w:jc w:val="center"/>
        <w:rPr>
          <w:rFonts w:ascii="Arial Black" w:eastAsia="Arial Unicode MS" w:hAnsi="Arial Black"/>
          <w:sz w:val="16"/>
        </w:rPr>
      </w:pPr>
      <w:r>
        <w:rPr>
          <w:rFonts w:ascii="Arial Black" w:hAnsi="Arial Black"/>
          <w:sz w:val="16"/>
        </w:rPr>
        <w:t xml:space="preserve">                            Av. Las Heras y Juan B. Justo</w:t>
      </w:r>
    </w:p>
    <w:p w:rsidR="00AF48A9" w:rsidRDefault="00AF48A9" w:rsidP="00AF48A9">
      <w:pPr>
        <w:pStyle w:val="Ttulo1"/>
        <w:ind w:left="-709" w:right="5958" w:hanging="551"/>
        <w:jc w:val="center"/>
        <w:rPr>
          <w:rFonts w:ascii="Arial Black" w:hAnsi="Arial Black"/>
          <w:sz w:val="16"/>
        </w:rPr>
      </w:pPr>
      <w:r>
        <w:rPr>
          <w:rFonts w:ascii="Arial Black" w:hAnsi="Arial Black"/>
          <w:sz w:val="16"/>
        </w:rPr>
        <w:t xml:space="preserve">                            Resistencia – T.E.Nº0362-423266</w:t>
      </w:r>
    </w:p>
    <w:p w:rsidR="00AF48A9" w:rsidRPr="00B72522" w:rsidRDefault="00AF48A9" w:rsidP="00AF48A9">
      <w:pPr>
        <w:ind w:right="51"/>
        <w:jc w:val="center"/>
        <w:rPr>
          <w:sz w:val="20"/>
          <w:szCs w:val="20"/>
        </w:rPr>
      </w:pPr>
      <w:r w:rsidRPr="00B72522">
        <w:rPr>
          <w:i/>
          <w:iCs/>
          <w:sz w:val="20"/>
          <w:szCs w:val="20"/>
        </w:rPr>
        <w:t>“2016 –Año Homenaje al Bicentenario de la Declaración de la Independencia de la Nación Argentina –“</w:t>
      </w:r>
    </w:p>
    <w:p w:rsidR="00AF48A9" w:rsidRPr="00AF48A9" w:rsidRDefault="00AF48A9" w:rsidP="00AF48A9">
      <w:pPr>
        <w:ind w:right="51"/>
        <w:jc w:val="right"/>
        <w:rPr>
          <w:sz w:val="22"/>
          <w:szCs w:val="22"/>
        </w:rPr>
      </w:pPr>
      <w:r w:rsidRPr="00AF48A9">
        <w:rPr>
          <w:sz w:val="22"/>
          <w:szCs w:val="22"/>
        </w:rPr>
        <w:t>Resistencia, 18 de Noviembre de 2016.</w:t>
      </w:r>
    </w:p>
    <w:p w:rsidR="00AF48A9" w:rsidRPr="00AF48A9" w:rsidRDefault="00AF48A9" w:rsidP="00AF48A9">
      <w:pPr>
        <w:ind w:right="51"/>
        <w:jc w:val="both"/>
        <w:rPr>
          <w:sz w:val="22"/>
          <w:szCs w:val="22"/>
        </w:rPr>
      </w:pPr>
    </w:p>
    <w:p w:rsidR="00AF48A9" w:rsidRPr="00AF48A9" w:rsidRDefault="00AF48A9" w:rsidP="00AF48A9">
      <w:pPr>
        <w:jc w:val="both"/>
        <w:rPr>
          <w:b/>
          <w:bCs/>
          <w:sz w:val="22"/>
          <w:szCs w:val="22"/>
          <w:u w:val="single"/>
        </w:rPr>
      </w:pPr>
      <w:r w:rsidRPr="00AF48A9">
        <w:rPr>
          <w:rStyle w:val="cuerpo1"/>
          <w:rFonts w:ascii="Times New Roman" w:hAnsi="Times New Roman" w:cs="Times New Roman"/>
          <w:b/>
          <w:bCs/>
          <w:sz w:val="22"/>
          <w:szCs w:val="22"/>
          <w:u w:val="single"/>
        </w:rPr>
        <w:t>VISTO:</w:t>
      </w:r>
    </w:p>
    <w:p w:rsidR="00AF48A9" w:rsidRPr="00AF48A9" w:rsidRDefault="00AF48A9" w:rsidP="00AF48A9">
      <w:pPr>
        <w:pStyle w:val="Sangradetextonormal"/>
        <w:ind w:firstLine="1980"/>
        <w:jc w:val="both"/>
        <w:rPr>
          <w:sz w:val="22"/>
          <w:szCs w:val="22"/>
        </w:rPr>
      </w:pPr>
      <w:r w:rsidRPr="00AF48A9">
        <w:rPr>
          <w:rStyle w:val="cuerpo1"/>
          <w:rFonts w:ascii="Times New Roman" w:hAnsi="Times New Roman" w:cs="Times New Roman"/>
          <w:sz w:val="22"/>
          <w:szCs w:val="22"/>
        </w:rPr>
        <w:t xml:space="preserve">Que el articulo 466 C.C y Com. </w:t>
      </w:r>
      <w:proofErr w:type="gramStart"/>
      <w:r w:rsidRPr="00AF48A9">
        <w:rPr>
          <w:rStyle w:val="cuerpo1"/>
          <w:rFonts w:ascii="Times New Roman" w:hAnsi="Times New Roman" w:cs="Times New Roman"/>
          <w:sz w:val="22"/>
          <w:szCs w:val="22"/>
        </w:rPr>
        <w:t>de</w:t>
      </w:r>
      <w:proofErr w:type="gramEnd"/>
      <w:r w:rsidRPr="00AF48A9">
        <w:rPr>
          <w:rStyle w:val="cuerpo1"/>
          <w:rFonts w:ascii="Times New Roman" w:hAnsi="Times New Roman" w:cs="Times New Roman"/>
          <w:sz w:val="22"/>
          <w:szCs w:val="22"/>
        </w:rPr>
        <w:t xml:space="preserve"> la Nación establece recaudos similares a los artículos 1246 y 1247 derogados para probar la excepción de la presunción de </w:t>
      </w:r>
      <w:proofErr w:type="spellStart"/>
      <w:r w:rsidRPr="00AF48A9">
        <w:rPr>
          <w:rStyle w:val="cuerpo1"/>
          <w:rFonts w:ascii="Times New Roman" w:hAnsi="Times New Roman" w:cs="Times New Roman"/>
          <w:sz w:val="22"/>
          <w:szCs w:val="22"/>
        </w:rPr>
        <w:t>ganancialidad</w:t>
      </w:r>
      <w:proofErr w:type="spellEnd"/>
      <w:r w:rsidRPr="00AF48A9">
        <w:rPr>
          <w:rStyle w:val="cuerpo1"/>
          <w:rFonts w:ascii="Times New Roman" w:hAnsi="Times New Roman" w:cs="Times New Roman"/>
          <w:sz w:val="22"/>
          <w:szCs w:val="22"/>
        </w:rPr>
        <w:t>, de quienes se encuentran casado bajo el régimen de comunidad, con la conformidad expresa del otro cónyuge, y</w:t>
      </w:r>
    </w:p>
    <w:p w:rsidR="00AF48A9" w:rsidRPr="00AF48A9" w:rsidRDefault="00AF48A9" w:rsidP="00AF48A9">
      <w:pPr>
        <w:jc w:val="both"/>
        <w:rPr>
          <w:b/>
          <w:bCs/>
          <w:sz w:val="22"/>
          <w:szCs w:val="22"/>
          <w:u w:val="single"/>
        </w:rPr>
      </w:pPr>
      <w:r w:rsidRPr="00AF48A9">
        <w:rPr>
          <w:rStyle w:val="cuerpo1"/>
          <w:rFonts w:ascii="Times New Roman" w:hAnsi="Times New Roman" w:cs="Times New Roman"/>
          <w:b/>
          <w:bCs/>
          <w:sz w:val="22"/>
          <w:szCs w:val="22"/>
          <w:u w:val="single"/>
        </w:rPr>
        <w:t>CONSIDERANDO:</w:t>
      </w:r>
    </w:p>
    <w:p w:rsidR="00AF48A9" w:rsidRPr="00AF48A9" w:rsidRDefault="00AF48A9" w:rsidP="00AF48A9">
      <w:pPr>
        <w:pStyle w:val="Sangra2detindependiente"/>
        <w:rPr>
          <w:sz w:val="22"/>
          <w:szCs w:val="22"/>
        </w:rPr>
      </w:pPr>
      <w:r w:rsidRPr="00AF48A9">
        <w:rPr>
          <w:rStyle w:val="cuerpo1"/>
          <w:rFonts w:ascii="Times New Roman" w:hAnsi="Times New Roman" w:cs="Times New Roman"/>
          <w:sz w:val="22"/>
          <w:szCs w:val="22"/>
        </w:rPr>
        <w:t>El artículo extiende la prueba frente a terceros, cuando se haga constar en el acto de adquisición del inmueble, el carácter propio del mismo por subrogación real, por la inversión o reinversión de bienes propios. En caso de oposición injustificada del otro cónyuge, o imposibilidad de obtenerla, se deberá contar con una declaración judicial del carácter propio del bien, la que será inscripta en la matricula.</w:t>
      </w:r>
    </w:p>
    <w:p w:rsidR="00AF48A9" w:rsidRPr="00AF48A9" w:rsidRDefault="00AF48A9" w:rsidP="00AF48A9">
      <w:pPr>
        <w:ind w:firstLine="1980"/>
        <w:jc w:val="both"/>
        <w:rPr>
          <w:rStyle w:val="cuerpo1"/>
          <w:rFonts w:ascii="Times New Roman" w:hAnsi="Times New Roman" w:cs="Times New Roman"/>
          <w:sz w:val="22"/>
          <w:szCs w:val="22"/>
        </w:rPr>
      </w:pPr>
      <w:r w:rsidRPr="00AF48A9">
        <w:rPr>
          <w:rStyle w:val="cuerpo1"/>
          <w:rFonts w:ascii="Times New Roman" w:hAnsi="Times New Roman" w:cs="Times New Roman"/>
          <w:sz w:val="22"/>
          <w:szCs w:val="22"/>
        </w:rPr>
        <w:t>En caso de omisión involuntaria de ambos cónyuges en la manifestación, podrá completarse por escritura complementaria, realizada posteriormente a la adquisición y hasta la extinción del régimen patrimonial matrimonial.</w:t>
      </w:r>
    </w:p>
    <w:p w:rsidR="00AF48A9" w:rsidRPr="00AF48A9" w:rsidRDefault="00AF48A9" w:rsidP="00AF48A9">
      <w:pPr>
        <w:ind w:firstLine="1980"/>
        <w:jc w:val="both"/>
        <w:rPr>
          <w:rStyle w:val="cuerpo1"/>
          <w:rFonts w:ascii="Times New Roman" w:hAnsi="Times New Roman" w:cs="Times New Roman"/>
          <w:sz w:val="22"/>
          <w:szCs w:val="22"/>
        </w:rPr>
      </w:pPr>
      <w:r w:rsidRPr="00AF48A9">
        <w:rPr>
          <w:rStyle w:val="cuerpo1"/>
          <w:rFonts w:ascii="Times New Roman" w:hAnsi="Times New Roman" w:cs="Times New Roman"/>
          <w:sz w:val="22"/>
          <w:szCs w:val="22"/>
        </w:rPr>
        <w:t>Para que la escritura pública complementaria sea oponible a terceros debe contener:</w:t>
      </w:r>
    </w:p>
    <w:p w:rsidR="00AF48A9" w:rsidRPr="00AF48A9" w:rsidRDefault="00AF48A9" w:rsidP="00AF48A9">
      <w:pPr>
        <w:ind w:firstLine="1980"/>
        <w:jc w:val="both"/>
        <w:rPr>
          <w:rStyle w:val="cuerpo1"/>
          <w:rFonts w:ascii="Times New Roman" w:hAnsi="Times New Roman" w:cs="Times New Roman"/>
          <w:sz w:val="22"/>
          <w:szCs w:val="22"/>
        </w:rPr>
      </w:pPr>
      <w:r w:rsidRPr="00AF48A9">
        <w:rPr>
          <w:rStyle w:val="cuerpo1"/>
          <w:rFonts w:ascii="Times New Roman" w:hAnsi="Times New Roman" w:cs="Times New Roman"/>
          <w:sz w:val="22"/>
          <w:szCs w:val="22"/>
        </w:rPr>
        <w:t>1) La constancia que el inmueble se adquirió con la inversión o reinversión de fondos.</w:t>
      </w:r>
    </w:p>
    <w:p w:rsidR="00AF48A9" w:rsidRPr="00AF48A9" w:rsidRDefault="00AF48A9" w:rsidP="00AF48A9">
      <w:pPr>
        <w:ind w:firstLine="1980"/>
        <w:jc w:val="both"/>
        <w:rPr>
          <w:rStyle w:val="cuerpo1"/>
          <w:rFonts w:ascii="Times New Roman" w:hAnsi="Times New Roman" w:cs="Times New Roman"/>
          <w:sz w:val="22"/>
          <w:szCs w:val="22"/>
        </w:rPr>
      </w:pPr>
      <w:r w:rsidRPr="00AF48A9">
        <w:rPr>
          <w:rStyle w:val="cuerpo1"/>
          <w:rFonts w:ascii="Times New Roman" w:hAnsi="Times New Roman" w:cs="Times New Roman"/>
          <w:sz w:val="22"/>
          <w:szCs w:val="22"/>
        </w:rPr>
        <w:t>2) La determinación precisa del origen de los fondos, o inmuebles propios.</w:t>
      </w:r>
    </w:p>
    <w:p w:rsidR="00AF48A9" w:rsidRPr="00AF48A9" w:rsidRDefault="00AF48A9" w:rsidP="00AF48A9">
      <w:pPr>
        <w:ind w:firstLine="1980"/>
        <w:jc w:val="both"/>
        <w:rPr>
          <w:rStyle w:val="cuerpo1"/>
          <w:rFonts w:ascii="Times New Roman" w:hAnsi="Times New Roman" w:cs="Times New Roman"/>
          <w:sz w:val="22"/>
          <w:szCs w:val="22"/>
        </w:rPr>
      </w:pPr>
      <w:r w:rsidRPr="00AF48A9">
        <w:rPr>
          <w:rStyle w:val="cuerpo1"/>
          <w:rFonts w:ascii="Times New Roman" w:hAnsi="Times New Roman" w:cs="Times New Roman"/>
          <w:sz w:val="22"/>
          <w:szCs w:val="22"/>
        </w:rPr>
        <w:t>3) La especificación de la causa-fuente jurídica de la propiedad del cónyuge dueño.</w:t>
      </w:r>
    </w:p>
    <w:p w:rsidR="00AF48A9" w:rsidRPr="00AF48A9" w:rsidRDefault="00AF48A9" w:rsidP="00AF48A9">
      <w:pPr>
        <w:ind w:firstLine="1980"/>
        <w:jc w:val="both"/>
        <w:rPr>
          <w:rStyle w:val="cuerpo1"/>
          <w:rFonts w:ascii="Times New Roman" w:hAnsi="Times New Roman" w:cs="Times New Roman"/>
          <w:sz w:val="22"/>
          <w:szCs w:val="22"/>
        </w:rPr>
      </w:pPr>
      <w:r w:rsidRPr="00AF48A9">
        <w:rPr>
          <w:rStyle w:val="cuerpo1"/>
          <w:rFonts w:ascii="Times New Roman" w:hAnsi="Times New Roman" w:cs="Times New Roman"/>
          <w:sz w:val="22"/>
          <w:szCs w:val="22"/>
        </w:rPr>
        <w:t>4) La conformidad del cónyuge del adquirente.</w:t>
      </w:r>
    </w:p>
    <w:p w:rsidR="00AF48A9" w:rsidRPr="00AF48A9" w:rsidRDefault="00AF48A9" w:rsidP="00AF48A9">
      <w:pPr>
        <w:ind w:firstLine="1980"/>
        <w:jc w:val="both"/>
        <w:rPr>
          <w:rStyle w:val="cuerpo1"/>
          <w:rFonts w:ascii="Times New Roman" w:hAnsi="Times New Roman" w:cs="Times New Roman"/>
          <w:sz w:val="22"/>
          <w:szCs w:val="22"/>
        </w:rPr>
      </w:pPr>
      <w:r w:rsidRPr="00AF48A9">
        <w:rPr>
          <w:rStyle w:val="cuerpo1"/>
          <w:rFonts w:ascii="Times New Roman" w:hAnsi="Times New Roman" w:cs="Times New Roman"/>
          <w:sz w:val="22"/>
          <w:szCs w:val="22"/>
        </w:rPr>
        <w:t xml:space="preserve">Que el comentario al artículo 466 del C.C. y Com. </w:t>
      </w:r>
      <w:proofErr w:type="gramStart"/>
      <w:r w:rsidRPr="00AF48A9">
        <w:rPr>
          <w:rStyle w:val="cuerpo1"/>
          <w:rFonts w:ascii="Times New Roman" w:hAnsi="Times New Roman" w:cs="Times New Roman"/>
          <w:sz w:val="22"/>
          <w:szCs w:val="22"/>
        </w:rPr>
        <w:t>de</w:t>
      </w:r>
      <w:proofErr w:type="gramEnd"/>
      <w:r w:rsidRPr="00AF48A9">
        <w:rPr>
          <w:rStyle w:val="cuerpo1"/>
          <w:rFonts w:ascii="Times New Roman" w:hAnsi="Times New Roman" w:cs="Times New Roman"/>
          <w:sz w:val="22"/>
          <w:szCs w:val="22"/>
        </w:rPr>
        <w:t xml:space="preserve"> la Nación conforme </w:t>
      </w:r>
      <w:proofErr w:type="spellStart"/>
      <w:r w:rsidRPr="00AF48A9">
        <w:rPr>
          <w:rStyle w:val="cuerpo1"/>
          <w:rFonts w:ascii="Times New Roman" w:hAnsi="Times New Roman" w:cs="Times New Roman"/>
          <w:sz w:val="22"/>
          <w:szCs w:val="22"/>
        </w:rPr>
        <w:t>Lorenzetti</w:t>
      </w:r>
      <w:proofErr w:type="spellEnd"/>
      <w:r w:rsidRPr="00AF48A9">
        <w:rPr>
          <w:rStyle w:val="cuerpo1"/>
          <w:rFonts w:ascii="Times New Roman" w:hAnsi="Times New Roman" w:cs="Times New Roman"/>
          <w:sz w:val="22"/>
          <w:szCs w:val="22"/>
        </w:rPr>
        <w:t xml:space="preserve"> R.L., Código Civil y Comercial de la Nación – comentado, Tomo III, </w:t>
      </w:r>
      <w:proofErr w:type="spellStart"/>
      <w:r w:rsidRPr="00AF48A9">
        <w:rPr>
          <w:rStyle w:val="cuerpo1"/>
          <w:rFonts w:ascii="Times New Roman" w:hAnsi="Times New Roman" w:cs="Times New Roman"/>
          <w:sz w:val="22"/>
          <w:szCs w:val="22"/>
        </w:rPr>
        <w:t>Rubinzal-Culzoni</w:t>
      </w:r>
      <w:proofErr w:type="spellEnd"/>
      <w:r w:rsidRPr="00AF48A9">
        <w:rPr>
          <w:rStyle w:val="cuerpo1"/>
          <w:rFonts w:ascii="Times New Roman" w:hAnsi="Times New Roman" w:cs="Times New Roman"/>
          <w:sz w:val="22"/>
          <w:szCs w:val="22"/>
        </w:rPr>
        <w:t xml:space="preserve"> Editores, expresamente refiere que: </w:t>
      </w:r>
      <w:r w:rsidRPr="00AF48A9">
        <w:rPr>
          <w:rStyle w:val="cuerpo1"/>
          <w:rFonts w:ascii="Times New Roman" w:hAnsi="Times New Roman" w:cs="Times New Roman"/>
          <w:i/>
          <w:sz w:val="22"/>
          <w:szCs w:val="22"/>
        </w:rPr>
        <w:t xml:space="preserve">“No existe impedimento para que ambos cónyuges efectúen una declaración notarial complementaria en caso de haberse omitido tal manifestación al instrumentar la adquisición o si, por cualquier caso, no hubiere sido posible que el cónyuge adquirente la prestara (ausencia, viaje, </w:t>
      </w:r>
      <w:proofErr w:type="spellStart"/>
      <w:r w:rsidRPr="00AF48A9">
        <w:rPr>
          <w:rStyle w:val="cuerpo1"/>
          <w:rFonts w:ascii="Times New Roman" w:hAnsi="Times New Roman" w:cs="Times New Roman"/>
          <w:i/>
          <w:sz w:val="22"/>
          <w:szCs w:val="22"/>
        </w:rPr>
        <w:t>etc</w:t>
      </w:r>
      <w:proofErr w:type="spellEnd"/>
      <w:r w:rsidRPr="00AF48A9">
        <w:rPr>
          <w:rStyle w:val="cuerpo1"/>
          <w:rFonts w:ascii="Times New Roman" w:hAnsi="Times New Roman" w:cs="Times New Roman"/>
          <w:i/>
          <w:sz w:val="22"/>
          <w:szCs w:val="22"/>
        </w:rPr>
        <w:t>).”</w:t>
      </w:r>
      <w:r w:rsidRPr="00AF48A9">
        <w:rPr>
          <w:rStyle w:val="cuerpo1"/>
          <w:rFonts w:ascii="Times New Roman" w:hAnsi="Times New Roman" w:cs="Times New Roman"/>
          <w:sz w:val="22"/>
          <w:szCs w:val="22"/>
        </w:rPr>
        <w:t xml:space="preserve"> </w:t>
      </w:r>
    </w:p>
    <w:p w:rsidR="00AF48A9" w:rsidRPr="00AF48A9" w:rsidRDefault="00AF48A9" w:rsidP="00AF48A9">
      <w:pPr>
        <w:ind w:firstLine="1980"/>
        <w:jc w:val="both"/>
        <w:rPr>
          <w:rStyle w:val="cuerpo1"/>
          <w:rFonts w:ascii="Times New Roman" w:hAnsi="Times New Roman" w:cs="Times New Roman"/>
          <w:i/>
          <w:sz w:val="22"/>
          <w:szCs w:val="22"/>
        </w:rPr>
      </w:pPr>
      <w:r w:rsidRPr="00AF48A9">
        <w:rPr>
          <w:rStyle w:val="cuerpo1"/>
          <w:rFonts w:ascii="Times New Roman" w:hAnsi="Times New Roman" w:cs="Times New Roman"/>
          <w:sz w:val="22"/>
          <w:szCs w:val="22"/>
        </w:rPr>
        <w:t>Que idéntica opinión se expresa en autos: “Pugliese Rosana s/Acción Declarativa (art. 322 Código Procesal)”</w:t>
      </w:r>
      <w:proofErr w:type="spellStart"/>
      <w:r w:rsidRPr="00AF48A9">
        <w:rPr>
          <w:rStyle w:val="cuerpo1"/>
          <w:rFonts w:ascii="Times New Roman" w:hAnsi="Times New Roman" w:cs="Times New Roman"/>
          <w:sz w:val="22"/>
          <w:szCs w:val="22"/>
        </w:rPr>
        <w:t>Expte</w:t>
      </w:r>
      <w:proofErr w:type="spellEnd"/>
      <w:r w:rsidRPr="00AF48A9">
        <w:rPr>
          <w:rStyle w:val="cuerpo1"/>
          <w:rFonts w:ascii="Times New Roman" w:hAnsi="Times New Roman" w:cs="Times New Roman"/>
          <w:sz w:val="22"/>
          <w:szCs w:val="22"/>
        </w:rPr>
        <w:t xml:space="preserve">. 89310/2015, del  Juzgado Nacional de Primera Instancia en lo Civil Nº63 de la ciudad Autónoma de Buenos Aires, donde se rechazó la pretendida declaración de certeza, por entender el Tribunal que en el caso “… </w:t>
      </w:r>
      <w:r w:rsidRPr="00AF48A9">
        <w:rPr>
          <w:rStyle w:val="cuerpo1"/>
          <w:rFonts w:ascii="Times New Roman" w:hAnsi="Times New Roman" w:cs="Times New Roman"/>
          <w:i/>
          <w:sz w:val="22"/>
          <w:szCs w:val="22"/>
        </w:rPr>
        <w:t>nada impide que ambos cónyuges efectúen una declaración notarial complementaria del acto escriturario en cuestión y su consecuente inscripción en el Registro de la Propiedad Inmueble”.</w:t>
      </w:r>
    </w:p>
    <w:p w:rsidR="00AF48A9" w:rsidRPr="00AF48A9" w:rsidRDefault="00AF48A9" w:rsidP="00AF48A9">
      <w:pPr>
        <w:pStyle w:val="Sangra2detindependiente"/>
        <w:ind w:firstLine="1701"/>
        <w:rPr>
          <w:rStyle w:val="cuerpo1"/>
          <w:rFonts w:ascii="Times New Roman" w:hAnsi="Times New Roman" w:cs="Times New Roman"/>
          <w:sz w:val="22"/>
          <w:szCs w:val="22"/>
        </w:rPr>
      </w:pPr>
      <w:r w:rsidRPr="00AF48A9">
        <w:rPr>
          <w:sz w:val="22"/>
          <w:szCs w:val="22"/>
        </w:rPr>
        <w:t xml:space="preserve">Que conforme lo prevé el artículo 37 inciso d) del Decreto Ley Nº306/69 compete a </w:t>
      </w:r>
      <w:smartTag w:uri="urn:schemas-microsoft-com:office:smarttags" w:element="PersonName">
        <w:smartTagPr>
          <w:attr w:name="ProductID" w:val="la Direcci￳n"/>
        </w:smartTagPr>
        <w:r w:rsidRPr="00AF48A9">
          <w:rPr>
            <w:sz w:val="22"/>
            <w:szCs w:val="22"/>
          </w:rPr>
          <w:t>la Dirección</w:t>
        </w:r>
      </w:smartTag>
      <w:r w:rsidRPr="00AF48A9">
        <w:rPr>
          <w:sz w:val="22"/>
          <w:szCs w:val="22"/>
        </w:rPr>
        <w:t xml:space="preserve"> la confección de la presente;</w:t>
      </w:r>
    </w:p>
    <w:p w:rsidR="00AF48A9" w:rsidRDefault="00AF48A9" w:rsidP="00AF48A9">
      <w:pPr>
        <w:ind w:firstLine="1980"/>
        <w:jc w:val="both"/>
        <w:rPr>
          <w:sz w:val="22"/>
          <w:szCs w:val="22"/>
        </w:rPr>
      </w:pPr>
    </w:p>
    <w:p w:rsidR="00AF48A9" w:rsidRDefault="00AF48A9" w:rsidP="00AF48A9">
      <w:pPr>
        <w:ind w:firstLine="1980"/>
        <w:jc w:val="both"/>
        <w:rPr>
          <w:sz w:val="22"/>
          <w:szCs w:val="22"/>
        </w:rPr>
      </w:pPr>
    </w:p>
    <w:p w:rsidR="00AF48A9" w:rsidRDefault="00AF48A9" w:rsidP="00AF48A9">
      <w:pPr>
        <w:ind w:firstLine="1980"/>
        <w:jc w:val="both"/>
        <w:rPr>
          <w:sz w:val="22"/>
          <w:szCs w:val="22"/>
        </w:rPr>
      </w:pPr>
    </w:p>
    <w:p w:rsidR="00AF48A9" w:rsidRDefault="00AF48A9" w:rsidP="00AF48A9">
      <w:pPr>
        <w:ind w:firstLine="1980"/>
        <w:jc w:val="both"/>
        <w:rPr>
          <w:sz w:val="22"/>
          <w:szCs w:val="22"/>
        </w:rPr>
      </w:pPr>
    </w:p>
    <w:p w:rsidR="00AF48A9" w:rsidRPr="00AF48A9" w:rsidRDefault="00AF48A9" w:rsidP="00AF48A9">
      <w:pPr>
        <w:ind w:firstLine="1980"/>
        <w:jc w:val="both"/>
        <w:rPr>
          <w:sz w:val="22"/>
          <w:szCs w:val="22"/>
        </w:rPr>
      </w:pPr>
    </w:p>
    <w:p w:rsidR="00AF48A9" w:rsidRPr="00AF48A9" w:rsidRDefault="00AF48A9" w:rsidP="00AF48A9">
      <w:pPr>
        <w:jc w:val="center"/>
        <w:rPr>
          <w:b/>
          <w:bCs/>
          <w:sz w:val="22"/>
          <w:szCs w:val="22"/>
        </w:rPr>
      </w:pPr>
      <w:smartTag w:uri="urn:schemas-microsoft-com:office:smarttags" w:element="PersonName">
        <w:smartTagPr>
          <w:attr w:name="ProductID" w:val="LA DIRECCION DEL"/>
        </w:smartTagPr>
        <w:r w:rsidRPr="00AF48A9">
          <w:rPr>
            <w:rStyle w:val="cuerpo1"/>
            <w:rFonts w:ascii="Times New Roman" w:hAnsi="Times New Roman" w:cs="Times New Roman"/>
            <w:b/>
            <w:bCs/>
            <w:sz w:val="22"/>
            <w:szCs w:val="22"/>
          </w:rPr>
          <w:lastRenderedPageBreak/>
          <w:t>LA DIRECCION DEL</w:t>
        </w:r>
      </w:smartTag>
      <w:r w:rsidRPr="00AF48A9">
        <w:rPr>
          <w:rStyle w:val="cuerpo1"/>
          <w:rFonts w:ascii="Times New Roman" w:hAnsi="Times New Roman" w:cs="Times New Roman"/>
          <w:b/>
          <w:bCs/>
          <w:sz w:val="22"/>
          <w:szCs w:val="22"/>
        </w:rPr>
        <w:t xml:space="preserve"> REGISTRO DE </w:t>
      </w:r>
      <w:smartTag w:uri="urn:schemas-microsoft-com:office:smarttags" w:element="PersonName">
        <w:smartTagPr>
          <w:attr w:name="ProductID" w:val="la Propiedad Inmueble"/>
        </w:smartTagPr>
        <w:r w:rsidRPr="00AF48A9">
          <w:rPr>
            <w:rStyle w:val="cuerpo1"/>
            <w:rFonts w:ascii="Times New Roman" w:hAnsi="Times New Roman" w:cs="Times New Roman"/>
            <w:b/>
            <w:bCs/>
            <w:sz w:val="22"/>
            <w:szCs w:val="22"/>
          </w:rPr>
          <w:t>LA PROPIEDAD INMUEBLE</w:t>
        </w:r>
      </w:smartTag>
    </w:p>
    <w:p w:rsidR="00AF48A9" w:rsidRPr="00AF48A9" w:rsidRDefault="00AF48A9" w:rsidP="00AF48A9">
      <w:pPr>
        <w:pStyle w:val="Ttulo1"/>
        <w:ind w:firstLine="0"/>
        <w:jc w:val="center"/>
        <w:rPr>
          <w:sz w:val="22"/>
          <w:szCs w:val="22"/>
          <w:u w:val="single"/>
        </w:rPr>
      </w:pPr>
      <w:r w:rsidRPr="00AF48A9">
        <w:rPr>
          <w:rStyle w:val="cuerpo1"/>
          <w:rFonts w:ascii="Times New Roman" w:hAnsi="Times New Roman" w:cs="Times New Roman"/>
          <w:b/>
          <w:bCs/>
          <w:sz w:val="22"/>
          <w:szCs w:val="22"/>
          <w:u w:val="single"/>
        </w:rPr>
        <w:t>D I S P O N E</w:t>
      </w:r>
    </w:p>
    <w:p w:rsidR="00AF48A9" w:rsidRPr="00AF48A9" w:rsidRDefault="00AF48A9" w:rsidP="00AF48A9">
      <w:pPr>
        <w:numPr>
          <w:ilvl w:val="0"/>
          <w:numId w:val="1"/>
        </w:numPr>
        <w:jc w:val="both"/>
        <w:rPr>
          <w:rStyle w:val="cuerpo1"/>
          <w:rFonts w:ascii="Times New Roman" w:hAnsi="Times New Roman" w:cs="Times New Roman"/>
          <w:sz w:val="22"/>
          <w:szCs w:val="22"/>
        </w:rPr>
      </w:pPr>
      <w:r w:rsidRPr="00AF48A9">
        <w:rPr>
          <w:rStyle w:val="cuerpo1"/>
          <w:rFonts w:ascii="Times New Roman" w:hAnsi="Times New Roman" w:cs="Times New Roman"/>
          <w:sz w:val="22"/>
          <w:szCs w:val="22"/>
        </w:rPr>
        <w:t>A los fines de subsanar la omisión de consignar el carácter propio de los bienes en el acto de adquisición, pueden los cónyuges efectuar una declaración por escritura complementaria, siempre que en dicho acto se dé cumplimiento a todos y cada uno de los requisitos a los que hace referencia el art. 466 del C.C. y Com.</w:t>
      </w:r>
    </w:p>
    <w:p w:rsidR="00AF48A9" w:rsidRPr="00AF48A9" w:rsidRDefault="00AF48A9" w:rsidP="00AF48A9">
      <w:pPr>
        <w:numPr>
          <w:ilvl w:val="0"/>
          <w:numId w:val="1"/>
        </w:numPr>
        <w:jc w:val="both"/>
        <w:rPr>
          <w:sz w:val="22"/>
          <w:szCs w:val="22"/>
        </w:rPr>
      </w:pPr>
      <w:r w:rsidRPr="00AF48A9">
        <w:rPr>
          <w:sz w:val="22"/>
          <w:szCs w:val="22"/>
        </w:rPr>
        <w:t>Remítase copia al Boletín Oficial para su publicación.</w:t>
      </w:r>
    </w:p>
    <w:p w:rsidR="00AF48A9" w:rsidRPr="00AF48A9" w:rsidRDefault="00AF48A9" w:rsidP="00AF48A9">
      <w:pPr>
        <w:numPr>
          <w:ilvl w:val="0"/>
          <w:numId w:val="1"/>
        </w:numPr>
        <w:jc w:val="both"/>
        <w:rPr>
          <w:sz w:val="22"/>
          <w:szCs w:val="22"/>
        </w:rPr>
      </w:pPr>
      <w:r w:rsidRPr="00AF48A9">
        <w:rPr>
          <w:sz w:val="22"/>
          <w:szCs w:val="22"/>
        </w:rPr>
        <w:t>Notifíquese y hágase saber, cumplido, archívese.</w:t>
      </w:r>
    </w:p>
    <w:p w:rsidR="00AF48A9" w:rsidRPr="00AF48A9" w:rsidRDefault="00AF48A9" w:rsidP="00AF48A9">
      <w:pPr>
        <w:jc w:val="both"/>
        <w:rPr>
          <w:sz w:val="22"/>
          <w:szCs w:val="22"/>
        </w:rPr>
      </w:pPr>
    </w:p>
    <w:p w:rsidR="00AF48A9" w:rsidRPr="00AF48A9" w:rsidRDefault="00AF48A9" w:rsidP="00AF48A9">
      <w:pPr>
        <w:pStyle w:val="Ttulo3"/>
        <w:jc w:val="both"/>
        <w:rPr>
          <w:sz w:val="22"/>
          <w:szCs w:val="22"/>
        </w:rPr>
      </w:pPr>
      <w:r w:rsidRPr="00AF48A9">
        <w:rPr>
          <w:sz w:val="22"/>
          <w:szCs w:val="22"/>
        </w:rPr>
        <w:t>DISPOSICIÓN TÉCNICA REGISTRAL Nº10/2016.-</w:t>
      </w:r>
    </w:p>
    <w:p w:rsidR="00AF48A9" w:rsidRPr="00AF48A9" w:rsidRDefault="00AF48A9" w:rsidP="00AF48A9"/>
    <w:p w:rsidR="00B521A0" w:rsidRDefault="00B521A0" w:rsidP="00B521A0">
      <w:pPr>
        <w:pStyle w:val="NormalWeb"/>
        <w:spacing w:before="0" w:beforeAutospacing="0" w:after="0" w:afterAutospacing="0"/>
        <w:jc w:val="right"/>
        <w:rPr>
          <w:rFonts w:ascii="Times New Roman" w:eastAsia="Times New Roman" w:hAnsi="Times New Roman" w:cs="Times New Roman"/>
        </w:rPr>
      </w:pPr>
    </w:p>
    <w:p w:rsidR="00B521A0" w:rsidRPr="00B521A0" w:rsidRDefault="00B521A0" w:rsidP="00B521A0">
      <w:pPr>
        <w:pStyle w:val="NormalWeb"/>
        <w:spacing w:before="0" w:beforeAutospacing="0" w:after="0" w:afterAutospacing="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B521A0">
        <w:rPr>
          <w:rFonts w:ascii="Times New Roman" w:eastAsia="Times New Roman" w:hAnsi="Times New Roman" w:cs="Times New Roman"/>
          <w:sz w:val="22"/>
          <w:szCs w:val="22"/>
        </w:rPr>
        <w:t>LILIA NOEMI DIEZ</w:t>
      </w:r>
    </w:p>
    <w:p w:rsidR="00B521A0" w:rsidRPr="00B521A0" w:rsidRDefault="00B521A0" w:rsidP="00B521A0">
      <w:pPr>
        <w:pStyle w:val="NormalWeb"/>
        <w:spacing w:before="0" w:beforeAutospacing="0" w:after="0" w:afterAutospacing="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B521A0">
        <w:rPr>
          <w:rFonts w:ascii="Times New Roman" w:eastAsia="Times New Roman" w:hAnsi="Times New Roman" w:cs="Times New Roman"/>
          <w:sz w:val="22"/>
          <w:szCs w:val="22"/>
        </w:rPr>
        <w:t>ABOGADA-ESCRIBANA</w:t>
      </w:r>
    </w:p>
    <w:p w:rsidR="00B521A0" w:rsidRPr="00B521A0" w:rsidRDefault="00B521A0" w:rsidP="00B521A0">
      <w:pPr>
        <w:pStyle w:val="NormalWeb"/>
        <w:spacing w:before="0" w:beforeAutospacing="0" w:after="0" w:afterAutospacing="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B521A0">
        <w:rPr>
          <w:rFonts w:ascii="Times New Roman" w:eastAsia="Times New Roman" w:hAnsi="Times New Roman" w:cs="Times New Roman"/>
          <w:sz w:val="22"/>
          <w:szCs w:val="22"/>
        </w:rPr>
        <w:t>DIRECTORA REGISTRO</w:t>
      </w:r>
    </w:p>
    <w:p w:rsidR="00B521A0" w:rsidRPr="00B521A0" w:rsidRDefault="00B521A0" w:rsidP="00B521A0">
      <w:pPr>
        <w:pStyle w:val="NormalWeb"/>
        <w:spacing w:before="0" w:beforeAutospacing="0" w:after="0" w:afterAutospacing="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DE LA PROPIEDAD </w:t>
      </w:r>
      <w:r w:rsidRPr="00B521A0">
        <w:rPr>
          <w:rFonts w:ascii="Times New Roman" w:eastAsia="Times New Roman" w:hAnsi="Times New Roman" w:cs="Times New Roman"/>
          <w:sz w:val="22"/>
          <w:szCs w:val="22"/>
        </w:rPr>
        <w:t>INMUEBLE</w:t>
      </w:r>
    </w:p>
    <w:p w:rsidR="00B521A0" w:rsidRPr="00FA3FE5" w:rsidRDefault="00B521A0" w:rsidP="00B521A0">
      <w:pPr>
        <w:pStyle w:val="NormalWeb"/>
        <w:spacing w:before="0" w:beforeAutospacing="0" w:after="0" w:afterAutospacing="0"/>
        <w:rPr>
          <w:rFonts w:ascii="Times New Roman" w:eastAsia="Times New Roman" w:hAnsi="Times New Roman" w:cs="Times New Roman"/>
          <w:b/>
          <w:u w:val="single"/>
        </w:rPr>
      </w:pPr>
    </w:p>
    <w:p w:rsidR="00F44AC8" w:rsidRPr="00AF48A9" w:rsidRDefault="00F44AC8" w:rsidP="00B521A0">
      <w:pPr>
        <w:jc w:val="right"/>
      </w:pPr>
    </w:p>
    <w:sectPr w:rsidR="00F44AC8" w:rsidRPr="00AF48A9"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E092F"/>
    <w:multiLevelType w:val="hybridMultilevel"/>
    <w:tmpl w:val="E14A708C"/>
    <w:lvl w:ilvl="0" w:tplc="948412BA">
      <w:start w:val="1"/>
      <w:numFmt w:val="decimal"/>
      <w:lvlText w:val="Art. %1."/>
      <w:lvlJc w:val="left"/>
      <w:pPr>
        <w:ind w:left="720" w:hanging="360"/>
      </w:pPr>
      <w:rPr>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F48A9"/>
    <w:rsid w:val="002267B8"/>
    <w:rsid w:val="00AF48A9"/>
    <w:rsid w:val="00B521A0"/>
    <w:rsid w:val="00C84783"/>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A9"/>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F48A9"/>
    <w:pPr>
      <w:keepNext/>
      <w:ind w:firstLine="1985"/>
      <w:jc w:val="both"/>
      <w:outlineLvl w:val="0"/>
    </w:pPr>
    <w:rPr>
      <w:szCs w:val="20"/>
    </w:rPr>
  </w:style>
  <w:style w:type="paragraph" w:styleId="Ttulo3">
    <w:name w:val="heading 3"/>
    <w:basedOn w:val="Normal"/>
    <w:next w:val="Normal"/>
    <w:link w:val="Ttulo3Car"/>
    <w:qFormat/>
    <w:rsid w:val="00AF48A9"/>
    <w:pPr>
      <w:keepNext/>
      <w:outlineLvl w:val="2"/>
    </w:pPr>
    <w:rPr>
      <w:b/>
      <w:bCs/>
      <w:u w:val="single"/>
    </w:rPr>
  </w:style>
  <w:style w:type="paragraph" w:styleId="Ttulo6">
    <w:name w:val="heading 6"/>
    <w:basedOn w:val="Normal"/>
    <w:next w:val="Normal"/>
    <w:link w:val="Ttulo6Car"/>
    <w:qFormat/>
    <w:rsid w:val="00AF48A9"/>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F48A9"/>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rsid w:val="00AF48A9"/>
    <w:rPr>
      <w:rFonts w:ascii="Times New Roman" w:eastAsia="Times New Roman" w:hAnsi="Times New Roman" w:cs="Times New Roman"/>
      <w:b/>
      <w:bCs/>
      <w:sz w:val="24"/>
      <w:szCs w:val="24"/>
      <w:u w:val="single"/>
      <w:lang w:eastAsia="es-ES"/>
    </w:rPr>
  </w:style>
  <w:style w:type="character" w:customStyle="1" w:styleId="Ttulo6Car">
    <w:name w:val="Título 6 Car"/>
    <w:basedOn w:val="Fuentedeprrafopredeter"/>
    <w:link w:val="Ttulo6"/>
    <w:rsid w:val="00AF48A9"/>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rsid w:val="00AF48A9"/>
    <w:pPr>
      <w:ind w:right="51" w:firstLine="1985"/>
      <w:jc w:val="both"/>
    </w:pPr>
    <w:rPr>
      <w:szCs w:val="20"/>
    </w:rPr>
  </w:style>
  <w:style w:type="character" w:customStyle="1" w:styleId="Sangra2detindependienteCar">
    <w:name w:val="Sangría 2 de t. independiente Car"/>
    <w:basedOn w:val="Fuentedeprrafopredeter"/>
    <w:link w:val="Sangra2detindependiente"/>
    <w:rsid w:val="00AF48A9"/>
    <w:rPr>
      <w:rFonts w:ascii="Times New Roman" w:eastAsia="Times New Roman" w:hAnsi="Times New Roman" w:cs="Times New Roman"/>
      <w:sz w:val="24"/>
      <w:szCs w:val="20"/>
      <w:lang w:eastAsia="es-ES"/>
    </w:rPr>
  </w:style>
  <w:style w:type="character" w:customStyle="1" w:styleId="cuerpo1">
    <w:name w:val="cuerpo1"/>
    <w:basedOn w:val="Fuentedeprrafopredeter"/>
    <w:rsid w:val="00AF48A9"/>
    <w:rPr>
      <w:rFonts w:ascii="Arial" w:hAnsi="Arial" w:cs="Arial" w:hint="default"/>
      <w:b w:val="0"/>
      <w:bCs w:val="0"/>
      <w:i w:val="0"/>
      <w:iCs w:val="0"/>
      <w:color w:val="000000"/>
      <w:sz w:val="14"/>
      <w:szCs w:val="14"/>
    </w:rPr>
  </w:style>
  <w:style w:type="paragraph" w:styleId="Sangradetextonormal">
    <w:name w:val="Body Text Indent"/>
    <w:basedOn w:val="Normal"/>
    <w:link w:val="SangradetextonormalCar"/>
    <w:rsid w:val="00AF48A9"/>
    <w:pPr>
      <w:ind w:firstLine="900"/>
    </w:pPr>
  </w:style>
  <w:style w:type="character" w:customStyle="1" w:styleId="SangradetextonormalCar">
    <w:name w:val="Sangría de texto normal Car"/>
    <w:basedOn w:val="Fuentedeprrafopredeter"/>
    <w:link w:val="Sangradetextonormal"/>
    <w:rsid w:val="00AF48A9"/>
    <w:rPr>
      <w:rFonts w:ascii="Times New Roman" w:eastAsia="Times New Roman" w:hAnsi="Times New Roman" w:cs="Times New Roman"/>
      <w:sz w:val="24"/>
      <w:szCs w:val="24"/>
      <w:lang w:eastAsia="es-ES"/>
    </w:rPr>
  </w:style>
  <w:style w:type="paragraph" w:styleId="NormalWeb">
    <w:name w:val="Normal (Web)"/>
    <w:basedOn w:val="Normal"/>
    <w:rsid w:val="00B521A0"/>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3273</Characters>
  <Application>Microsoft Office Word</Application>
  <DocSecurity>0</DocSecurity>
  <Lines>27</Lines>
  <Paragraphs>7</Paragraphs>
  <ScaleCrop>false</ScaleCrop>
  <Company>windows</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2016-11-22T10:18:00Z</dcterms:created>
  <dcterms:modified xsi:type="dcterms:W3CDTF">2016-11-22T10:23:00Z</dcterms:modified>
</cp:coreProperties>
</file>