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0" w:rsidRDefault="006337A0" w:rsidP="006337A0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6337A0" w:rsidRDefault="00050BB4" w:rsidP="006337A0">
      <w:pPr>
        <w:pStyle w:val="Ttulo6"/>
        <w:rPr>
          <w:rFonts w:ascii="Arial" w:hAnsi="Arial" w:cs="Arial"/>
          <w:b/>
        </w:rPr>
      </w:pPr>
      <w:r w:rsidRPr="00050B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229" r:id="rId6"/>
        </w:pict>
      </w:r>
      <w:r w:rsidR="006337A0">
        <w:rPr>
          <w:rFonts w:ascii="Arial" w:hAnsi="Arial" w:cs="Arial"/>
          <w:b/>
        </w:rPr>
        <w:t>Ministerio</w:t>
      </w:r>
      <w:r w:rsidR="003774CE">
        <w:rPr>
          <w:rFonts w:ascii="Arial" w:hAnsi="Arial" w:cs="Arial"/>
          <w:b/>
        </w:rPr>
        <w:t xml:space="preserve"> de Gobierno, Justicia y Seguridad</w:t>
      </w:r>
    </w:p>
    <w:p w:rsidR="006337A0" w:rsidRDefault="006337A0" w:rsidP="00633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5307DC" w:rsidRDefault="005307DC" w:rsidP="005307DC">
      <w:pPr>
        <w:ind w:right="51"/>
        <w:jc w:val="center"/>
        <w:rPr>
          <w:i/>
          <w:iCs/>
        </w:rPr>
      </w:pPr>
    </w:p>
    <w:p w:rsidR="005307DC" w:rsidRDefault="005307DC" w:rsidP="005307DC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0049C6" w:rsidRPr="002D5659" w:rsidRDefault="000049C6" w:rsidP="006337A0">
      <w:pPr>
        <w:spacing w:after="0"/>
        <w:jc w:val="right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Resistencia, </w:t>
      </w:r>
      <w:r w:rsidR="00B2434A">
        <w:rPr>
          <w:rFonts w:ascii="Times New Roman" w:hAnsi="Times New Roman" w:cs="Times New Roman"/>
        </w:rPr>
        <w:t>17</w:t>
      </w:r>
      <w:r w:rsidRPr="002D5659">
        <w:rPr>
          <w:rFonts w:ascii="Times New Roman" w:hAnsi="Times New Roman" w:cs="Times New Roman"/>
        </w:rPr>
        <w:t xml:space="preserve"> de julio de 2015</w:t>
      </w:r>
      <w:r w:rsidR="00B2434A">
        <w:rPr>
          <w:rFonts w:ascii="Times New Roman" w:hAnsi="Times New Roman" w:cs="Times New Roman"/>
        </w:rPr>
        <w:t>.-</w:t>
      </w:r>
    </w:p>
    <w:p w:rsidR="000049C6" w:rsidRPr="002D5659" w:rsidRDefault="000049C6" w:rsidP="006337A0">
      <w:pPr>
        <w:spacing w:after="0"/>
        <w:jc w:val="both"/>
        <w:rPr>
          <w:rFonts w:ascii="Times New Roman" w:hAnsi="Times New Roman" w:cs="Times New Roman"/>
        </w:rPr>
      </w:pPr>
    </w:p>
    <w:p w:rsidR="000049C6" w:rsidRPr="002D5659" w:rsidRDefault="000049C6" w:rsidP="006337A0">
      <w:pPr>
        <w:spacing w:after="0"/>
        <w:jc w:val="both"/>
        <w:rPr>
          <w:rFonts w:ascii="Times New Roman" w:hAnsi="Times New Roman" w:cs="Times New Roman"/>
        </w:rPr>
      </w:pPr>
      <w:r w:rsidRPr="00B2434A">
        <w:rPr>
          <w:rFonts w:ascii="Times New Roman" w:hAnsi="Times New Roman" w:cs="Times New Roman"/>
          <w:b/>
          <w:u w:val="single"/>
        </w:rPr>
        <w:t xml:space="preserve">VISTO: </w:t>
      </w:r>
      <w:r w:rsidRPr="002D5659">
        <w:rPr>
          <w:rFonts w:ascii="Times New Roman" w:hAnsi="Times New Roman" w:cs="Times New Roman"/>
        </w:rPr>
        <w:t>La sanción de las leyes 26994</w:t>
      </w:r>
      <w:r w:rsidR="006337A0" w:rsidRPr="002D5659">
        <w:rPr>
          <w:rFonts w:ascii="Times New Roman" w:hAnsi="Times New Roman" w:cs="Times New Roman"/>
        </w:rPr>
        <w:t xml:space="preserve"> y 27077 </w:t>
      </w:r>
      <w:r w:rsidRPr="002D5659">
        <w:rPr>
          <w:rFonts w:ascii="Times New Roman" w:hAnsi="Times New Roman" w:cs="Times New Roman"/>
        </w:rPr>
        <w:t>de aprobación del Código Civil y Comercial de la Nación y puesta en vigencia del mismo a partir del 1 de agosto del corriente respectivamente y,</w:t>
      </w:r>
    </w:p>
    <w:p w:rsidR="000049C6" w:rsidRPr="002D5659" w:rsidRDefault="000049C6" w:rsidP="006337A0">
      <w:pPr>
        <w:spacing w:after="0"/>
        <w:jc w:val="both"/>
        <w:rPr>
          <w:rFonts w:ascii="Times New Roman" w:hAnsi="Times New Roman" w:cs="Times New Roman"/>
        </w:rPr>
      </w:pPr>
      <w:r w:rsidRPr="00B2434A">
        <w:rPr>
          <w:rFonts w:ascii="Times New Roman" w:hAnsi="Times New Roman" w:cs="Times New Roman"/>
          <w:b/>
          <w:u w:val="single"/>
        </w:rPr>
        <w:t>CONSIDERANDO:</w:t>
      </w:r>
      <w:r w:rsidRPr="002D5659">
        <w:rPr>
          <w:rFonts w:ascii="Times New Roman" w:hAnsi="Times New Roman" w:cs="Times New Roman"/>
        </w:rPr>
        <w:t xml:space="preserve"> Que la aprobación del código de fondo, exigió a este organismo proceder al estudio y análisis del mismo en forma exhaustiva para poder precisar así la vigencia de la normativa registral.</w:t>
      </w:r>
    </w:p>
    <w:p w:rsidR="000049C6" w:rsidRPr="002D5659" w:rsidRDefault="000049C6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0049C6" w:rsidRPr="002D5659" w:rsidRDefault="000049C6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Que las reformas del Código Civil y Comercial de la Nación, con incidencia registral, será obligatoria para los documentos autorizados a partir del 1 de agosto del corriente.</w:t>
      </w:r>
    </w:p>
    <w:p w:rsidR="000049C6" w:rsidRPr="002D5659" w:rsidRDefault="000049C6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Que la ley de aprobación del nuevo Código Civil y Comercial, derogó la ley 13512 en su totalidad.</w:t>
      </w:r>
    </w:p>
    <w:p w:rsidR="000049C6" w:rsidRPr="002D5659" w:rsidRDefault="000049C6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Que el nuevo Código Civil y Comercial incorporó a su articulado el derecho real de propiedad horizontal regulado en el art. 2307 y ss.</w:t>
      </w:r>
    </w:p>
    <w:p w:rsidR="000049C6" w:rsidRPr="002D5659" w:rsidRDefault="000049C6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Que es necesario señalar los cambios que tienen incidencia registral:</w:t>
      </w:r>
    </w:p>
    <w:p w:rsidR="000049C6" w:rsidRPr="002D5659" w:rsidRDefault="000F4481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INMUEBLE EDIFICADO: </w:t>
      </w:r>
      <w:r w:rsidR="000049C6" w:rsidRPr="002D5659">
        <w:rPr>
          <w:rFonts w:ascii="Times New Roman" w:hAnsi="Times New Roman" w:cs="Times New Roman"/>
        </w:rPr>
        <w:t xml:space="preserve">Que el Código Civil y Comercial no prevé </w:t>
      </w:r>
      <w:r w:rsidR="002D5659" w:rsidRPr="002D5659">
        <w:rPr>
          <w:rFonts w:ascii="Times New Roman" w:hAnsi="Times New Roman" w:cs="Times New Roman"/>
        </w:rPr>
        <w:t>e</w:t>
      </w:r>
      <w:r w:rsidR="000049C6" w:rsidRPr="002D5659">
        <w:rPr>
          <w:rFonts w:ascii="Times New Roman" w:hAnsi="Times New Roman" w:cs="Times New Roman"/>
        </w:rPr>
        <w:t>l estado constructivo del inmueble afectado, es criterio de este Registro a</w:t>
      </w:r>
      <w:r w:rsidR="002D5659" w:rsidRPr="002D5659">
        <w:rPr>
          <w:rFonts w:ascii="Times New Roman" w:hAnsi="Times New Roman" w:cs="Times New Roman"/>
        </w:rPr>
        <w:t xml:space="preserve">ceptar la interpretación que </w:t>
      </w:r>
      <w:r w:rsidR="000049C6" w:rsidRPr="002D5659">
        <w:rPr>
          <w:rFonts w:ascii="Times New Roman" w:hAnsi="Times New Roman" w:cs="Times New Roman"/>
        </w:rPr>
        <w:t>el derecho real de propiedad horizontal se refiere a un inmueble edificado al igual que la ley nacional derogada, manteniendo así el concepto que de antaño sostiene este organismo.</w:t>
      </w:r>
      <w:r w:rsidR="000049C6" w:rsidRPr="002D5659">
        <w:rPr>
          <w:rFonts w:ascii="Times New Roman" w:hAnsi="Times New Roman" w:cs="Times New Roman"/>
        </w:rPr>
        <w:tab/>
      </w:r>
    </w:p>
    <w:p w:rsidR="000049C6" w:rsidRPr="002D5659" w:rsidRDefault="000F4481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 PLANO: </w:t>
      </w:r>
      <w:r w:rsidR="000049C6" w:rsidRPr="002D5659">
        <w:rPr>
          <w:rFonts w:ascii="Times New Roman" w:hAnsi="Times New Roman" w:cs="Times New Roman"/>
        </w:rPr>
        <w:t>El plano de propiedad horizontal para las nuevas afectaciones tiene que reflejar el estado constructivo del edificio</w:t>
      </w:r>
      <w:r w:rsidRPr="002D5659">
        <w:rPr>
          <w:rFonts w:ascii="Times New Roman" w:hAnsi="Times New Roman" w:cs="Times New Roman"/>
        </w:rPr>
        <w:t>.</w:t>
      </w:r>
    </w:p>
    <w:p w:rsidR="000F4481" w:rsidRPr="002D5659" w:rsidRDefault="000F4481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La comunicación de plano de Propiedad Horizontal para las nuevas afectaciones  se guardarán en la forma de estilo s</w:t>
      </w:r>
      <w:r w:rsidR="002D5659" w:rsidRPr="002D5659">
        <w:rPr>
          <w:rFonts w:ascii="Times New Roman" w:hAnsi="Times New Roman" w:cs="Times New Roman"/>
        </w:rPr>
        <w:t>e</w:t>
      </w:r>
      <w:r w:rsidRPr="002D5659">
        <w:rPr>
          <w:rFonts w:ascii="Times New Roman" w:hAnsi="Times New Roman" w:cs="Times New Roman"/>
        </w:rPr>
        <w:t>an anteriores o posteriores al 1 de agosto e 2015.</w:t>
      </w:r>
    </w:p>
    <w:p w:rsidR="000F4481" w:rsidRPr="002D5659" w:rsidRDefault="000F4481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Las escrituras de afectación al derecho real de </w:t>
      </w:r>
      <w:proofErr w:type="gramStart"/>
      <w:r w:rsidRPr="002D5659">
        <w:rPr>
          <w:rFonts w:ascii="Times New Roman" w:hAnsi="Times New Roman" w:cs="Times New Roman"/>
        </w:rPr>
        <w:t>propiedad horizontal autorizadas</w:t>
      </w:r>
      <w:proofErr w:type="gramEnd"/>
      <w:r w:rsidRPr="002D5659">
        <w:rPr>
          <w:rFonts w:ascii="Times New Roman" w:hAnsi="Times New Roman" w:cs="Times New Roman"/>
        </w:rPr>
        <w:t xml:space="preserve"> con posterioridad al 1 de agosto de 2015 en base a planos de PH anteriores a dicha fecha, comunicados previamente a este Registro, serán registradas en forma definitiva, por los mismos argumentos expuestos más arriba.</w:t>
      </w:r>
    </w:p>
    <w:p w:rsidR="000F4481" w:rsidRPr="002D5659" w:rsidRDefault="000F4481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REGLAMENTO DE PROPIEDAD HORIZONTAL: Se deberá calificar el cumplimiento de los requisitos del art. 2056 CCC que tengan incidencia registral a saber:</w:t>
      </w:r>
    </w:p>
    <w:p w:rsidR="000F4481" w:rsidRPr="002D5659" w:rsidRDefault="000F4481" w:rsidP="006337A0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Determinación del terreno.</w:t>
      </w:r>
    </w:p>
    <w:p w:rsidR="000F4481" w:rsidRPr="002D5659" w:rsidRDefault="000F4481" w:rsidP="006337A0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Determinación de las unidades funcionales y complementarias </w:t>
      </w:r>
    </w:p>
    <w:p w:rsidR="000F4481" w:rsidRPr="002D5659" w:rsidRDefault="000F4481" w:rsidP="006337A0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Enumeración de los bienes propios.</w:t>
      </w:r>
    </w:p>
    <w:p w:rsidR="000F4481" w:rsidRPr="002D5659" w:rsidRDefault="000F4481" w:rsidP="006337A0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Enumeración de las cosas y partes comunes.</w:t>
      </w:r>
    </w:p>
    <w:p w:rsidR="00D069B8" w:rsidRPr="002D5659" w:rsidRDefault="00D069B8" w:rsidP="006337A0">
      <w:pPr>
        <w:pStyle w:val="Prrafodelista"/>
        <w:numPr>
          <w:ilvl w:val="0"/>
          <w:numId w:val="3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Determinación de la parte proporcional indivisa de cada unidad</w:t>
      </w:r>
    </w:p>
    <w:p w:rsidR="000F4481" w:rsidRPr="002D5659" w:rsidRDefault="00D069B8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UNIDAD FUNCIONAL: La propiedad de la unidad funcional comprende la parte indivisa del terreno, de las partes y cosas de uso común del inmueble o indispensables para mantener su seguridad y puede abarcar una o más unidades complementarias destinadas a servirla (art. 2039 CCC).</w:t>
      </w:r>
    </w:p>
    <w:p w:rsidR="00D069B8" w:rsidRPr="002D5659" w:rsidRDefault="00D069B8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lastRenderedPageBreak/>
        <w:t>CONSTITUCION TRANSMISION O EXTINCION DE DERECHO REAL, GRAVAMEN O EMBARGO, sobre la unidad funcional comprende a las cosas y partes comunes y a la unidad complementaria y no puede realizarse separadamente de éstas. (art. 2045 CCC)</w:t>
      </w:r>
    </w:p>
    <w:p w:rsidR="00D069B8" w:rsidRPr="002D5659" w:rsidRDefault="00D069B8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Teniendo en cuenta la dificultad que presenta el cumplimiento de las normas citadas precedentemente, porque las unidades funcionales y complementarias tienen matrículas individuales, el registrador deberá </w:t>
      </w:r>
      <w:r w:rsidR="00E36990" w:rsidRPr="002D5659">
        <w:rPr>
          <w:rFonts w:ascii="Times New Roman" w:hAnsi="Times New Roman" w:cs="Times New Roman"/>
        </w:rPr>
        <w:t>antes de anotar los derechos a los que se refiere el art. 2045, verificar la existencia de unidades complementarias a la unidad funcional a fin de inscribir también en ellas los derechos rogados.</w:t>
      </w:r>
    </w:p>
    <w:p w:rsidR="00E36990" w:rsidRPr="002D5659" w:rsidRDefault="00E36990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AFECTACION/MODIFICACION A PROPIEDAD HORIZONTAL.</w:t>
      </w:r>
      <w:r w:rsidR="006337A0" w:rsidRPr="002D5659">
        <w:rPr>
          <w:rFonts w:ascii="Times New Roman" w:hAnsi="Times New Roman" w:cs="Times New Roman"/>
        </w:rPr>
        <w:t xml:space="preserve"> </w:t>
      </w:r>
      <w:r w:rsidRPr="002D5659">
        <w:rPr>
          <w:rFonts w:ascii="Times New Roman" w:hAnsi="Times New Roman" w:cs="Times New Roman"/>
        </w:rPr>
        <w:t>En el supuesto que se ruegue una afectación a propiedad horizontal o una modificación del reglamento inscripto, se deberán rogar y publicitar las vinculaciones entre las unidades funcionales y las unidades complementarias correspondientes.</w:t>
      </w:r>
    </w:p>
    <w:p w:rsidR="00E36990" w:rsidRPr="002D5659" w:rsidRDefault="00E36990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En el supuesto aludido, sólo</w:t>
      </w:r>
      <w:r w:rsidR="006337A0" w:rsidRPr="002D5659">
        <w:rPr>
          <w:rFonts w:ascii="Times New Roman" w:hAnsi="Times New Roman" w:cs="Times New Roman"/>
        </w:rPr>
        <w:t xml:space="preserve"> </w:t>
      </w:r>
      <w:r w:rsidRPr="002D5659">
        <w:rPr>
          <w:rFonts w:ascii="Times New Roman" w:hAnsi="Times New Roman" w:cs="Times New Roman"/>
        </w:rPr>
        <w:t>se podrán calificar tales circunstancias y observar en su caso el documento ingresado, en tanto y en cuanto la unidad funcional esté vinculada a una determinada unidad complementaria por el Reglamento de Propiedad Horizontal o su modificación posterior. Si en cambio, no surgiere así de las constancias registrales y si el Reglamento lo habilita, las unidades funcionales y complementarias podrán transmitirse y gravarse sin limitación alguna.</w:t>
      </w:r>
    </w:p>
    <w:p w:rsidR="00E36990" w:rsidRPr="002D5659" w:rsidRDefault="00E36990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VIVIENDA FAMILIAR En caso de modificación de Reglamento de Propiedad Horizontal , de una unidad que constituye la vivienda familiar, se </w:t>
      </w:r>
      <w:r w:rsidR="006337A0" w:rsidRPr="002D5659">
        <w:rPr>
          <w:rFonts w:ascii="Times New Roman" w:hAnsi="Times New Roman" w:cs="Times New Roman"/>
        </w:rPr>
        <w:t>trate</w:t>
      </w:r>
      <w:r w:rsidRPr="002D5659">
        <w:rPr>
          <w:rFonts w:ascii="Times New Roman" w:hAnsi="Times New Roman" w:cs="Times New Roman"/>
        </w:rPr>
        <w:t xml:space="preserve">  de un bien propio ganancial, deberá calificarse el asentimiento del art. 456 CCC </w:t>
      </w:r>
    </w:p>
    <w:p w:rsidR="00FB2ED2" w:rsidRPr="002D5659" w:rsidRDefault="00FB2ED2" w:rsidP="006337A0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SUBCONSORCIOS: El Art. 2068 CCC  establece que el Reglamento permita la existencia de </w:t>
      </w:r>
      <w:proofErr w:type="spellStart"/>
      <w:r w:rsidRPr="002D5659">
        <w:rPr>
          <w:rFonts w:ascii="Times New Roman" w:hAnsi="Times New Roman" w:cs="Times New Roman"/>
        </w:rPr>
        <w:t>subconsorcios</w:t>
      </w:r>
      <w:proofErr w:type="spellEnd"/>
      <w:r w:rsidRPr="002D5659">
        <w:rPr>
          <w:rFonts w:ascii="Times New Roman" w:hAnsi="Times New Roman" w:cs="Times New Roman"/>
        </w:rPr>
        <w:t xml:space="preserve"> para la organización de sectores con independencia funcional o administrativa, dicha circunstancia no será motivo de calificación </w:t>
      </w:r>
      <w:r w:rsidR="00B912E2" w:rsidRPr="002D5659">
        <w:rPr>
          <w:rFonts w:ascii="Times New Roman" w:hAnsi="Times New Roman" w:cs="Times New Roman"/>
        </w:rPr>
        <w:t xml:space="preserve">ni de inscripción alguna, </w:t>
      </w:r>
      <w:r w:rsidRPr="002D5659">
        <w:rPr>
          <w:rFonts w:ascii="Times New Roman" w:hAnsi="Times New Roman" w:cs="Times New Roman"/>
        </w:rPr>
        <w:t xml:space="preserve">por el registrador </w:t>
      </w:r>
      <w:r w:rsidR="00B912E2" w:rsidRPr="002D5659">
        <w:rPr>
          <w:rFonts w:ascii="Times New Roman" w:hAnsi="Times New Roman" w:cs="Times New Roman"/>
        </w:rPr>
        <w:t>en virtud de lo dispuesto en la última parte de la norma.</w:t>
      </w:r>
    </w:p>
    <w:p w:rsidR="000049C6" w:rsidRPr="002D5659" w:rsidRDefault="000049C6" w:rsidP="006337A0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Que en uso de las atribuciones conferidas por el Art. 36 inc. d) del Dto. 306/69</w:t>
      </w:r>
      <w:r w:rsidR="00B2434A">
        <w:rPr>
          <w:rFonts w:ascii="Times New Roman" w:hAnsi="Times New Roman" w:cs="Times New Roman"/>
        </w:rPr>
        <w:t>.</w:t>
      </w:r>
    </w:p>
    <w:p w:rsidR="00B2434A" w:rsidRDefault="00B2434A" w:rsidP="006337A0">
      <w:pPr>
        <w:spacing w:after="0"/>
        <w:jc w:val="center"/>
        <w:rPr>
          <w:rFonts w:ascii="Times New Roman" w:hAnsi="Times New Roman" w:cs="Times New Roman"/>
          <w:b/>
        </w:rPr>
      </w:pPr>
    </w:p>
    <w:p w:rsidR="000049C6" w:rsidRPr="002D5659" w:rsidRDefault="000049C6" w:rsidP="006337A0">
      <w:pPr>
        <w:spacing w:after="0"/>
        <w:jc w:val="center"/>
        <w:rPr>
          <w:rFonts w:ascii="Times New Roman" w:hAnsi="Times New Roman" w:cs="Times New Roman"/>
          <w:b/>
        </w:rPr>
      </w:pPr>
      <w:r w:rsidRPr="002D5659">
        <w:rPr>
          <w:rFonts w:ascii="Times New Roman" w:hAnsi="Times New Roman" w:cs="Times New Roman"/>
          <w:b/>
        </w:rPr>
        <w:t>LA DIRECTORA DEL REGISTRO DE LA PROPIEDAD INMUEBLE DEL CHACO</w:t>
      </w:r>
    </w:p>
    <w:p w:rsidR="000049C6" w:rsidRPr="002D5659" w:rsidRDefault="000049C6" w:rsidP="006337A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D5659">
        <w:rPr>
          <w:rFonts w:ascii="Times New Roman" w:hAnsi="Times New Roman" w:cs="Times New Roman"/>
          <w:b/>
          <w:u w:val="single"/>
        </w:rPr>
        <w:t>DISPONE</w:t>
      </w:r>
    </w:p>
    <w:p w:rsidR="000049C6" w:rsidRPr="002D5659" w:rsidRDefault="000049C6" w:rsidP="006337A0">
      <w:pPr>
        <w:spacing w:after="0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 xml:space="preserve">ART. 1: INSCRIBIR, la </w:t>
      </w:r>
      <w:r w:rsidR="0010062E" w:rsidRPr="002D5659">
        <w:rPr>
          <w:rFonts w:ascii="Times New Roman" w:hAnsi="Times New Roman" w:cs="Times New Roman"/>
        </w:rPr>
        <w:t>afectación de un inmueble al derecho real de propiedad horizontal conforme lo</w:t>
      </w:r>
      <w:r w:rsidRPr="002D5659">
        <w:rPr>
          <w:rFonts w:ascii="Times New Roman" w:hAnsi="Times New Roman" w:cs="Times New Roman"/>
        </w:rPr>
        <w:t xml:space="preserve"> dispuesto en la presente.</w:t>
      </w:r>
    </w:p>
    <w:p w:rsidR="000049C6" w:rsidRPr="002D5659" w:rsidRDefault="000049C6" w:rsidP="006337A0">
      <w:pPr>
        <w:spacing w:after="0"/>
        <w:jc w:val="both"/>
        <w:rPr>
          <w:rFonts w:ascii="Times New Roman" w:hAnsi="Times New Roman" w:cs="Times New Roman"/>
        </w:rPr>
      </w:pPr>
      <w:r w:rsidRPr="002D5659">
        <w:rPr>
          <w:rFonts w:ascii="Times New Roman" w:hAnsi="Times New Roman" w:cs="Times New Roman"/>
        </w:rPr>
        <w:t>ART. 2: NOTIFIQUESE, regístrese, publíquese en el Boletín Oficial y archívese.</w:t>
      </w:r>
    </w:p>
    <w:p w:rsidR="000049C6" w:rsidRPr="002D5659" w:rsidRDefault="000049C6" w:rsidP="006337A0">
      <w:pPr>
        <w:spacing w:after="0"/>
        <w:jc w:val="both"/>
        <w:rPr>
          <w:rFonts w:ascii="Times New Roman" w:hAnsi="Times New Roman" w:cs="Times New Roman"/>
        </w:rPr>
      </w:pPr>
    </w:p>
    <w:p w:rsidR="00E45102" w:rsidRDefault="006337A0" w:rsidP="009628B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D5659">
        <w:rPr>
          <w:rFonts w:ascii="Times New Roman" w:hAnsi="Times New Roman" w:cs="Times New Roman"/>
          <w:b/>
          <w:u w:val="single"/>
        </w:rPr>
        <w:t>DISPOSICIÓN TÉCNICO REGISTRAL N°</w:t>
      </w:r>
      <w:r w:rsidR="00B2434A">
        <w:rPr>
          <w:rFonts w:ascii="Times New Roman" w:hAnsi="Times New Roman" w:cs="Times New Roman"/>
          <w:b/>
          <w:u w:val="single"/>
        </w:rPr>
        <w:t>27/2015.-</w:t>
      </w:r>
    </w:p>
    <w:p w:rsidR="00B2434A" w:rsidRDefault="00B2434A" w:rsidP="009628B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359A5" w:rsidRDefault="004359A5" w:rsidP="009628B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359A5" w:rsidRDefault="004359A5" w:rsidP="004359A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4359A5" w:rsidRDefault="004359A5" w:rsidP="004359A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4359A5" w:rsidRDefault="004359A5" w:rsidP="004359A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4359A5" w:rsidRDefault="004359A5" w:rsidP="004359A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4359A5" w:rsidRDefault="004359A5" w:rsidP="004359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9A5" w:rsidRPr="002D5659" w:rsidRDefault="004359A5" w:rsidP="004359A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sectPr w:rsidR="004359A5" w:rsidRPr="002D5659" w:rsidSect="008D419C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24B"/>
    <w:multiLevelType w:val="hybridMultilevel"/>
    <w:tmpl w:val="6156B11A"/>
    <w:lvl w:ilvl="0" w:tplc="38E4104A">
      <w:start w:val="6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35" w:hanging="360"/>
      </w:pPr>
    </w:lvl>
    <w:lvl w:ilvl="2" w:tplc="2C0A001B" w:tentative="1">
      <w:start w:val="1"/>
      <w:numFmt w:val="lowerRoman"/>
      <w:lvlText w:val="%3."/>
      <w:lvlJc w:val="right"/>
      <w:pPr>
        <w:ind w:left="5355" w:hanging="180"/>
      </w:pPr>
    </w:lvl>
    <w:lvl w:ilvl="3" w:tplc="2C0A000F" w:tentative="1">
      <w:start w:val="1"/>
      <w:numFmt w:val="decimal"/>
      <w:lvlText w:val="%4."/>
      <w:lvlJc w:val="left"/>
      <w:pPr>
        <w:ind w:left="6075" w:hanging="360"/>
      </w:pPr>
    </w:lvl>
    <w:lvl w:ilvl="4" w:tplc="2C0A0019" w:tentative="1">
      <w:start w:val="1"/>
      <w:numFmt w:val="lowerLetter"/>
      <w:lvlText w:val="%5."/>
      <w:lvlJc w:val="left"/>
      <w:pPr>
        <w:ind w:left="6795" w:hanging="360"/>
      </w:pPr>
    </w:lvl>
    <w:lvl w:ilvl="5" w:tplc="2C0A001B" w:tentative="1">
      <w:start w:val="1"/>
      <w:numFmt w:val="lowerRoman"/>
      <w:lvlText w:val="%6."/>
      <w:lvlJc w:val="right"/>
      <w:pPr>
        <w:ind w:left="7515" w:hanging="180"/>
      </w:pPr>
    </w:lvl>
    <w:lvl w:ilvl="6" w:tplc="2C0A000F" w:tentative="1">
      <w:start w:val="1"/>
      <w:numFmt w:val="decimal"/>
      <w:lvlText w:val="%7."/>
      <w:lvlJc w:val="left"/>
      <w:pPr>
        <w:ind w:left="8235" w:hanging="360"/>
      </w:pPr>
    </w:lvl>
    <w:lvl w:ilvl="7" w:tplc="2C0A0019" w:tentative="1">
      <w:start w:val="1"/>
      <w:numFmt w:val="lowerLetter"/>
      <w:lvlText w:val="%8."/>
      <w:lvlJc w:val="left"/>
      <w:pPr>
        <w:ind w:left="8955" w:hanging="360"/>
      </w:pPr>
    </w:lvl>
    <w:lvl w:ilvl="8" w:tplc="2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">
    <w:nsid w:val="66797D91"/>
    <w:multiLevelType w:val="hybridMultilevel"/>
    <w:tmpl w:val="915AC854"/>
    <w:lvl w:ilvl="0" w:tplc="4C4A46B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92909C3"/>
    <w:multiLevelType w:val="hybridMultilevel"/>
    <w:tmpl w:val="A3243114"/>
    <w:lvl w:ilvl="0" w:tplc="B3FECF4E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275" w:hanging="360"/>
      </w:pPr>
    </w:lvl>
    <w:lvl w:ilvl="2" w:tplc="2C0A001B" w:tentative="1">
      <w:start w:val="1"/>
      <w:numFmt w:val="lowerRoman"/>
      <w:lvlText w:val="%3."/>
      <w:lvlJc w:val="right"/>
      <w:pPr>
        <w:ind w:left="4995" w:hanging="180"/>
      </w:pPr>
    </w:lvl>
    <w:lvl w:ilvl="3" w:tplc="2C0A000F" w:tentative="1">
      <w:start w:val="1"/>
      <w:numFmt w:val="decimal"/>
      <w:lvlText w:val="%4."/>
      <w:lvlJc w:val="left"/>
      <w:pPr>
        <w:ind w:left="5715" w:hanging="360"/>
      </w:pPr>
    </w:lvl>
    <w:lvl w:ilvl="4" w:tplc="2C0A0019" w:tentative="1">
      <w:start w:val="1"/>
      <w:numFmt w:val="lowerLetter"/>
      <w:lvlText w:val="%5."/>
      <w:lvlJc w:val="left"/>
      <w:pPr>
        <w:ind w:left="6435" w:hanging="360"/>
      </w:pPr>
    </w:lvl>
    <w:lvl w:ilvl="5" w:tplc="2C0A001B" w:tentative="1">
      <w:start w:val="1"/>
      <w:numFmt w:val="lowerRoman"/>
      <w:lvlText w:val="%6."/>
      <w:lvlJc w:val="right"/>
      <w:pPr>
        <w:ind w:left="7155" w:hanging="180"/>
      </w:pPr>
    </w:lvl>
    <w:lvl w:ilvl="6" w:tplc="2C0A000F" w:tentative="1">
      <w:start w:val="1"/>
      <w:numFmt w:val="decimal"/>
      <w:lvlText w:val="%7."/>
      <w:lvlJc w:val="left"/>
      <w:pPr>
        <w:ind w:left="7875" w:hanging="360"/>
      </w:pPr>
    </w:lvl>
    <w:lvl w:ilvl="7" w:tplc="2C0A0019" w:tentative="1">
      <w:start w:val="1"/>
      <w:numFmt w:val="lowerLetter"/>
      <w:lvlText w:val="%8."/>
      <w:lvlJc w:val="left"/>
      <w:pPr>
        <w:ind w:left="8595" w:hanging="360"/>
      </w:pPr>
    </w:lvl>
    <w:lvl w:ilvl="8" w:tplc="2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6D076A48"/>
    <w:multiLevelType w:val="hybridMultilevel"/>
    <w:tmpl w:val="3F12FC16"/>
    <w:lvl w:ilvl="0" w:tplc="4C4A4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9C6"/>
    <w:rsid w:val="000049C6"/>
    <w:rsid w:val="00050BB4"/>
    <w:rsid w:val="000F4481"/>
    <w:rsid w:val="0010062E"/>
    <w:rsid w:val="00186B10"/>
    <w:rsid w:val="002D5659"/>
    <w:rsid w:val="003774CE"/>
    <w:rsid w:val="003925AB"/>
    <w:rsid w:val="0043475F"/>
    <w:rsid w:val="004359A5"/>
    <w:rsid w:val="005307DC"/>
    <w:rsid w:val="006337A0"/>
    <w:rsid w:val="00676146"/>
    <w:rsid w:val="00676C08"/>
    <w:rsid w:val="008D419C"/>
    <w:rsid w:val="009628B1"/>
    <w:rsid w:val="00B2434A"/>
    <w:rsid w:val="00B912E2"/>
    <w:rsid w:val="00C91C36"/>
    <w:rsid w:val="00CA569F"/>
    <w:rsid w:val="00D069B8"/>
    <w:rsid w:val="00D97AF4"/>
    <w:rsid w:val="00E36990"/>
    <w:rsid w:val="00E45102"/>
    <w:rsid w:val="00EA4C6E"/>
    <w:rsid w:val="00FB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C6"/>
  </w:style>
  <w:style w:type="paragraph" w:styleId="Ttulo6">
    <w:name w:val="heading 6"/>
    <w:basedOn w:val="Normal"/>
    <w:next w:val="Normal"/>
    <w:link w:val="Ttulo6Car"/>
    <w:semiHidden/>
    <w:unhideWhenUsed/>
    <w:qFormat/>
    <w:rsid w:val="006337A0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9C6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6337A0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9</cp:revision>
  <cp:lastPrinted>2015-08-07T10:33:00Z</cp:lastPrinted>
  <dcterms:created xsi:type="dcterms:W3CDTF">2015-07-17T01:37:00Z</dcterms:created>
  <dcterms:modified xsi:type="dcterms:W3CDTF">2015-10-27T11:04:00Z</dcterms:modified>
</cp:coreProperties>
</file>