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C3" w:rsidRDefault="005C61C3" w:rsidP="005C61C3">
      <w:pPr>
        <w:spacing w:after="0"/>
        <w:ind w:right="3878"/>
        <w:jc w:val="center"/>
        <w:rPr>
          <w:rFonts w:ascii="Arial" w:hAnsi="Arial" w:cs="Arial"/>
          <w:sz w:val="24"/>
          <w:szCs w:val="24"/>
        </w:rPr>
      </w:pPr>
      <w:r>
        <w:rPr>
          <w:rFonts w:ascii="Arial" w:hAnsi="Arial" w:cs="Arial"/>
          <w:noProof/>
          <w:sz w:val="24"/>
          <w:szCs w:val="24"/>
        </w:rPr>
        <w:t>PROVINCIA del CHACO</w:t>
      </w:r>
    </w:p>
    <w:p w:rsidR="004017AB" w:rsidRDefault="00B36F16" w:rsidP="004017AB">
      <w:pPr>
        <w:pStyle w:val="Ttulo6"/>
        <w:rPr>
          <w:rFonts w:ascii="Arial" w:hAnsi="Arial" w:cs="Arial"/>
          <w:b/>
        </w:rPr>
      </w:pPr>
      <w:r w:rsidRPr="00B36F1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05pt;margin-top:-62.6pt;width:37.9pt;height:56pt;z-index:251660288">
            <v:imagedata r:id="rId5" o:title=""/>
            <w10:wrap type="topAndBottom"/>
          </v:shape>
          <o:OLEObject Type="Embed" ProgID="PBrush" ShapeID="_x0000_s1026" DrawAspect="Content" ObjectID="_1507438312" r:id="rId6"/>
        </w:pict>
      </w:r>
      <w:r w:rsidR="005C61C3">
        <w:rPr>
          <w:rFonts w:ascii="Arial" w:hAnsi="Arial" w:cs="Arial"/>
          <w:b/>
        </w:rPr>
        <w:t>Ministerio</w:t>
      </w:r>
      <w:r w:rsidR="00F65E62">
        <w:rPr>
          <w:rFonts w:ascii="Arial" w:hAnsi="Arial" w:cs="Arial"/>
          <w:b/>
        </w:rPr>
        <w:t xml:space="preserve"> de Gobierno, Justicia y Seguridad</w:t>
      </w:r>
      <w:r w:rsidR="004017AB">
        <w:rPr>
          <w:rFonts w:ascii="Arial" w:hAnsi="Arial" w:cs="Arial"/>
          <w:b/>
        </w:rPr>
        <w:t xml:space="preserve"> </w:t>
      </w:r>
    </w:p>
    <w:p w:rsidR="004017AB" w:rsidRPr="004017AB" w:rsidRDefault="005C61C3" w:rsidP="004017AB">
      <w:pPr>
        <w:pStyle w:val="Ttulo6"/>
        <w:rPr>
          <w:rFonts w:ascii="Arial" w:hAnsi="Arial" w:cs="Arial"/>
          <w:b/>
        </w:rPr>
      </w:pPr>
      <w:r>
        <w:rPr>
          <w:rFonts w:ascii="Arial Black" w:hAnsi="Arial Black"/>
          <w:b/>
          <w:sz w:val="16"/>
        </w:rPr>
        <w:t>Registro de la Propiedad Inmueble</w:t>
      </w:r>
    </w:p>
    <w:p w:rsidR="004017AB" w:rsidRDefault="004017AB" w:rsidP="004017AB">
      <w:pPr>
        <w:ind w:right="51"/>
        <w:jc w:val="center"/>
        <w:rPr>
          <w:i/>
          <w:iCs/>
        </w:rPr>
      </w:pPr>
    </w:p>
    <w:p w:rsidR="005C61C3" w:rsidRPr="00B6651E" w:rsidRDefault="004017AB" w:rsidP="00B6651E">
      <w:pPr>
        <w:ind w:right="51"/>
        <w:jc w:val="center"/>
      </w:pPr>
      <w:r>
        <w:rPr>
          <w:i/>
          <w:iCs/>
        </w:rPr>
        <w:t>2015 –Año de las personas con discapacidad, por una sociedad inclusiva – Ley 7528.-</w:t>
      </w:r>
    </w:p>
    <w:p w:rsidR="00083DF5" w:rsidRPr="00C80417" w:rsidRDefault="00B6651E" w:rsidP="00C80417">
      <w:pPr>
        <w:spacing w:after="0"/>
        <w:jc w:val="right"/>
        <w:rPr>
          <w:rFonts w:ascii="Times New Roman" w:hAnsi="Times New Roman" w:cs="Times New Roman"/>
        </w:rPr>
      </w:pPr>
      <w:r>
        <w:rPr>
          <w:rFonts w:ascii="Times New Roman" w:hAnsi="Times New Roman" w:cs="Times New Roman"/>
        </w:rPr>
        <w:t xml:space="preserve">Resistencia, 17 </w:t>
      </w:r>
      <w:r w:rsidR="00083DF5" w:rsidRPr="00C80417">
        <w:rPr>
          <w:rFonts w:ascii="Times New Roman" w:hAnsi="Times New Roman" w:cs="Times New Roman"/>
        </w:rPr>
        <w:t>de julio de 2015</w:t>
      </w:r>
      <w:r>
        <w:rPr>
          <w:rFonts w:ascii="Times New Roman" w:hAnsi="Times New Roman" w:cs="Times New Roman"/>
        </w:rPr>
        <w:t>.-</w:t>
      </w:r>
    </w:p>
    <w:p w:rsidR="00C80417" w:rsidRPr="00C80417" w:rsidRDefault="00C80417" w:rsidP="00C80417">
      <w:pPr>
        <w:spacing w:after="0"/>
        <w:jc w:val="right"/>
        <w:rPr>
          <w:rFonts w:ascii="Times New Roman" w:hAnsi="Times New Roman" w:cs="Times New Roman"/>
        </w:rPr>
      </w:pPr>
    </w:p>
    <w:p w:rsidR="00083DF5" w:rsidRPr="00C80417" w:rsidRDefault="00083DF5" w:rsidP="005C61C3">
      <w:pPr>
        <w:spacing w:after="0"/>
        <w:jc w:val="both"/>
        <w:rPr>
          <w:rFonts w:ascii="Times New Roman" w:hAnsi="Times New Roman" w:cs="Times New Roman"/>
        </w:rPr>
      </w:pPr>
      <w:r w:rsidRPr="00C80417">
        <w:rPr>
          <w:rFonts w:ascii="Times New Roman" w:hAnsi="Times New Roman" w:cs="Times New Roman"/>
          <w:b/>
          <w:u w:val="single"/>
        </w:rPr>
        <w:t>VISTO:</w:t>
      </w:r>
      <w:r w:rsidRPr="00C80417">
        <w:rPr>
          <w:rFonts w:ascii="Times New Roman" w:hAnsi="Times New Roman" w:cs="Times New Roman"/>
        </w:rPr>
        <w:t xml:space="preserve"> Que la ley de Sociedades Comerciales 19550, continúa vigente bajo el nombre de “Ley General de Sociedades” N° 19550 T.O: 1984”, con las reformas introducidas por la ley 26994 y,</w:t>
      </w:r>
    </w:p>
    <w:p w:rsidR="00083DF5" w:rsidRPr="00C80417" w:rsidRDefault="00083DF5" w:rsidP="005C61C3">
      <w:pPr>
        <w:spacing w:after="0"/>
        <w:jc w:val="both"/>
        <w:rPr>
          <w:rFonts w:ascii="Times New Roman" w:hAnsi="Times New Roman" w:cs="Times New Roman"/>
        </w:rPr>
      </w:pPr>
      <w:r w:rsidRPr="00C80417">
        <w:rPr>
          <w:rFonts w:ascii="Times New Roman" w:hAnsi="Times New Roman" w:cs="Times New Roman"/>
          <w:b/>
          <w:u w:val="single"/>
        </w:rPr>
        <w:t>CONSIDERANDO:</w:t>
      </w:r>
      <w:r w:rsidRPr="00C80417">
        <w:rPr>
          <w:rFonts w:ascii="Times New Roman" w:hAnsi="Times New Roman" w:cs="Times New Roman"/>
        </w:rPr>
        <w:t xml:space="preserve"> Que la aprobación del código de fondo, exigió a este organismo proceder al estudio y análisis del mismo en forma exhaustiva para poder precisar así la vigencia de la normativa registral.</w:t>
      </w:r>
    </w:p>
    <w:p w:rsidR="00083DF5" w:rsidRPr="00C80417" w:rsidRDefault="00083DF5" w:rsidP="005C61C3">
      <w:pPr>
        <w:spacing w:after="0"/>
        <w:ind w:firstLine="2127"/>
        <w:jc w:val="both"/>
        <w:rPr>
          <w:rFonts w:ascii="Times New Roman" w:hAnsi="Times New Roman" w:cs="Times New Roman"/>
        </w:rPr>
      </w:pPr>
      <w:r w:rsidRPr="00C80417">
        <w:rPr>
          <w:rFonts w:ascii="Times New Roman" w:hAnsi="Times New Roman" w:cs="Times New Roman"/>
        </w:rPr>
        <w:t>Que la función registral obliga que a partir de la vigencia del Código Civil y Comercial de la Nación, se califiquen los documentos con criterios ya definidos, los que podrán ser ajustados y modificados con posterioridad a la presente.</w:t>
      </w:r>
    </w:p>
    <w:p w:rsidR="00083DF5" w:rsidRPr="00C80417" w:rsidRDefault="00083DF5" w:rsidP="005C61C3">
      <w:pPr>
        <w:spacing w:after="0"/>
        <w:ind w:firstLine="2127"/>
        <w:jc w:val="both"/>
        <w:rPr>
          <w:rFonts w:ascii="Times New Roman" w:hAnsi="Times New Roman" w:cs="Times New Roman"/>
        </w:rPr>
      </w:pPr>
      <w:r w:rsidRPr="00C80417">
        <w:rPr>
          <w:rFonts w:ascii="Times New Roman" w:hAnsi="Times New Roman" w:cs="Times New Roman"/>
        </w:rPr>
        <w:t>Que las reformas del Código Civil y Comercial de la Nación, con incidencia registral, será obligatoria para los documentos autorizados a partir del 1 de agosto del corriente.</w:t>
      </w:r>
    </w:p>
    <w:p w:rsidR="00083DF5" w:rsidRPr="00C80417" w:rsidRDefault="00083DF5" w:rsidP="005C61C3">
      <w:pPr>
        <w:spacing w:after="0"/>
        <w:ind w:firstLine="2127"/>
        <w:jc w:val="both"/>
        <w:rPr>
          <w:rFonts w:ascii="Times New Roman" w:hAnsi="Times New Roman" w:cs="Times New Roman"/>
        </w:rPr>
      </w:pPr>
      <w:r w:rsidRPr="00C80417">
        <w:rPr>
          <w:rFonts w:ascii="Times New Roman" w:hAnsi="Times New Roman" w:cs="Times New Roman"/>
        </w:rPr>
        <w:t>Que se hace necesario brindar a los registradores pautas claras para la calificación de documentos que rueguen la inscripción de inmuebles a nombre de sociedades que no se constituyen por ninguno de los tipos societarios de la ley 19550, es decir no conforman sociedades anónimas (S.A.), sociedades de responsabilidad limitada (S.R.L.), Sociedades Colectivas (S.C. o S.C. C.), sociedades en comandita simple (S.C.S.) sociedades en comandita por acciones (S.C.A.) ni sociedades de capital e industria (S.C.I).</w:t>
      </w:r>
    </w:p>
    <w:p w:rsidR="00083DF5" w:rsidRPr="00C80417" w:rsidRDefault="00083DF5" w:rsidP="005C61C3">
      <w:pPr>
        <w:spacing w:after="0"/>
        <w:ind w:firstLine="2127"/>
        <w:jc w:val="both"/>
        <w:rPr>
          <w:rFonts w:ascii="Times New Roman" w:hAnsi="Times New Roman" w:cs="Times New Roman"/>
        </w:rPr>
      </w:pPr>
      <w:r w:rsidRPr="00C80417">
        <w:rPr>
          <w:rFonts w:ascii="Times New Roman" w:hAnsi="Times New Roman" w:cs="Times New Roman"/>
        </w:rPr>
        <w:t>Que a fin de precisarlas a los fines didácticos y de trabajo las ll amaremos “Sociedades de la Sección IV”</w:t>
      </w:r>
    </w:p>
    <w:p w:rsidR="00083DF5" w:rsidRPr="00C80417" w:rsidRDefault="00083DF5" w:rsidP="005C61C3">
      <w:pPr>
        <w:spacing w:after="0"/>
        <w:ind w:firstLine="2127"/>
        <w:jc w:val="both"/>
        <w:rPr>
          <w:rFonts w:ascii="Times New Roman" w:hAnsi="Times New Roman" w:cs="Times New Roman"/>
        </w:rPr>
      </w:pPr>
      <w:r w:rsidRPr="00C80417">
        <w:rPr>
          <w:rFonts w:ascii="Times New Roman" w:hAnsi="Times New Roman" w:cs="Times New Roman"/>
        </w:rPr>
        <w:t xml:space="preserve">Que estas sociedades antes llamadas sociedades irregulares o de hecho no podían adquirir inmuebles de acuerdo </w:t>
      </w:r>
      <w:r w:rsidR="00C77E50" w:rsidRPr="00C80417">
        <w:rPr>
          <w:rFonts w:ascii="Times New Roman" w:hAnsi="Times New Roman" w:cs="Times New Roman"/>
        </w:rPr>
        <w:t>con lo dispuesto por el art. 26 de la ley 19550.</w:t>
      </w:r>
    </w:p>
    <w:p w:rsidR="00C77E50" w:rsidRPr="00C80417" w:rsidRDefault="00C77E50" w:rsidP="005C61C3">
      <w:pPr>
        <w:spacing w:after="0"/>
        <w:ind w:firstLine="2127"/>
        <w:jc w:val="both"/>
        <w:rPr>
          <w:rFonts w:ascii="Times New Roman" w:hAnsi="Times New Roman" w:cs="Times New Roman"/>
        </w:rPr>
      </w:pPr>
      <w:r w:rsidRPr="00C80417">
        <w:rPr>
          <w:rFonts w:ascii="Times New Roman" w:hAnsi="Times New Roman" w:cs="Times New Roman"/>
        </w:rPr>
        <w:t>Que a partir de la reforma del art.23 de la ley 19550 estas sociedades pueden adquirir inmuebles, en estos casos el registrador deberá calificar:</w:t>
      </w:r>
    </w:p>
    <w:p w:rsidR="00C77E50" w:rsidRPr="00C80417" w:rsidRDefault="00C77E50" w:rsidP="005C61C3">
      <w:pPr>
        <w:pStyle w:val="Prrafodelista"/>
        <w:numPr>
          <w:ilvl w:val="0"/>
          <w:numId w:val="1"/>
        </w:numPr>
        <w:spacing w:after="0"/>
        <w:ind w:left="0" w:firstLine="2127"/>
        <w:jc w:val="both"/>
        <w:rPr>
          <w:rFonts w:ascii="Times New Roman" w:hAnsi="Times New Roman" w:cs="Times New Roman"/>
        </w:rPr>
      </w:pPr>
      <w:r w:rsidRPr="00C80417">
        <w:rPr>
          <w:rFonts w:ascii="Times New Roman" w:hAnsi="Times New Roman" w:cs="Times New Roman"/>
        </w:rPr>
        <w:t>El acto de adquisición del inmueble debe instrumentarse por escritura pública (art. 1017 CCC)</w:t>
      </w:r>
    </w:p>
    <w:p w:rsidR="00C77E50" w:rsidRPr="00C80417" w:rsidRDefault="00C77E50" w:rsidP="005C61C3">
      <w:pPr>
        <w:pStyle w:val="Prrafodelista"/>
        <w:numPr>
          <w:ilvl w:val="0"/>
          <w:numId w:val="1"/>
        </w:numPr>
        <w:spacing w:after="0"/>
        <w:ind w:left="0" w:firstLine="2127"/>
        <w:jc w:val="both"/>
        <w:rPr>
          <w:rFonts w:ascii="Times New Roman" w:hAnsi="Times New Roman" w:cs="Times New Roman"/>
        </w:rPr>
      </w:pPr>
      <w:r w:rsidRPr="00C80417">
        <w:rPr>
          <w:rFonts w:ascii="Times New Roman" w:hAnsi="Times New Roman" w:cs="Times New Roman"/>
        </w:rPr>
        <w:t>El escribano deberá dejar constancia en la escritura que tuvo a la vista el contrato social, que comparecieron a firmar la escritura todos los socios y si actúan un representante, debe consignar que todos los socios ratifican su actuación.</w:t>
      </w:r>
    </w:p>
    <w:p w:rsidR="00C77E50" w:rsidRPr="00C80417" w:rsidRDefault="00C77E50" w:rsidP="005C61C3">
      <w:pPr>
        <w:pStyle w:val="Prrafodelista"/>
        <w:numPr>
          <w:ilvl w:val="0"/>
          <w:numId w:val="1"/>
        </w:numPr>
        <w:spacing w:after="0"/>
        <w:ind w:left="0" w:firstLine="2127"/>
        <w:jc w:val="both"/>
        <w:rPr>
          <w:rFonts w:ascii="Times New Roman" w:hAnsi="Times New Roman" w:cs="Times New Roman"/>
        </w:rPr>
      </w:pPr>
      <w:r w:rsidRPr="00C80417">
        <w:rPr>
          <w:rFonts w:ascii="Times New Roman" w:hAnsi="Times New Roman" w:cs="Times New Roman"/>
        </w:rPr>
        <w:t>En el testimonio y minutas deberá surgir la proporción que cada socio tiene en la sociedad, (pero esta proporción no será publicitada en el asiento registral, ante la posibilidad de una gran cantidad de socios con diversos porcentajes, lo que dificultaría la registración).</w:t>
      </w:r>
    </w:p>
    <w:p w:rsidR="00C77E50" w:rsidRPr="00C80417" w:rsidRDefault="00C77E50" w:rsidP="005C61C3">
      <w:pPr>
        <w:pStyle w:val="Prrafodelista"/>
        <w:numPr>
          <w:ilvl w:val="0"/>
          <w:numId w:val="1"/>
        </w:numPr>
        <w:spacing w:after="0"/>
        <w:ind w:left="0" w:firstLine="2127"/>
        <w:jc w:val="both"/>
        <w:rPr>
          <w:rFonts w:ascii="Times New Roman" w:hAnsi="Times New Roman" w:cs="Times New Roman"/>
        </w:rPr>
      </w:pPr>
      <w:r w:rsidRPr="00C80417">
        <w:rPr>
          <w:rFonts w:ascii="Times New Roman" w:hAnsi="Times New Roman" w:cs="Times New Roman"/>
        </w:rPr>
        <w:t>La titularidad dominial debe inscribirse y publicitarse consignando todos los datos que surjan del título, especialmente el domicilio social, (art. 13 ley 17801) y el CUIT (art. 3 bis ley 17801)</w:t>
      </w:r>
    </w:p>
    <w:p w:rsidR="00083DF5" w:rsidRPr="00C80417" w:rsidRDefault="00083DF5" w:rsidP="005C61C3">
      <w:pPr>
        <w:spacing w:after="0"/>
        <w:ind w:firstLine="2127"/>
        <w:jc w:val="both"/>
        <w:rPr>
          <w:rFonts w:ascii="Times New Roman" w:hAnsi="Times New Roman" w:cs="Times New Roman"/>
        </w:rPr>
      </w:pPr>
      <w:r w:rsidRPr="00C80417">
        <w:rPr>
          <w:rFonts w:ascii="Times New Roman" w:hAnsi="Times New Roman" w:cs="Times New Roman"/>
        </w:rPr>
        <w:t>Que en uso de las atribuciones conferidas por el</w:t>
      </w:r>
      <w:r w:rsidR="00C77E50" w:rsidRPr="00C80417">
        <w:rPr>
          <w:rFonts w:ascii="Times New Roman" w:hAnsi="Times New Roman" w:cs="Times New Roman"/>
        </w:rPr>
        <w:t xml:space="preserve"> a</w:t>
      </w:r>
      <w:r w:rsidRPr="00C80417">
        <w:rPr>
          <w:rFonts w:ascii="Times New Roman" w:hAnsi="Times New Roman" w:cs="Times New Roman"/>
        </w:rPr>
        <w:t>rt. 36 inc. d) del Dto. 306/69</w:t>
      </w:r>
    </w:p>
    <w:p w:rsidR="00B6651E" w:rsidRDefault="00B6651E" w:rsidP="005C61C3">
      <w:pPr>
        <w:spacing w:after="0"/>
        <w:jc w:val="center"/>
        <w:rPr>
          <w:rFonts w:ascii="Times New Roman" w:hAnsi="Times New Roman" w:cs="Times New Roman"/>
          <w:b/>
        </w:rPr>
      </w:pPr>
    </w:p>
    <w:p w:rsidR="00083DF5" w:rsidRPr="00C80417" w:rsidRDefault="00083DF5" w:rsidP="005C61C3">
      <w:pPr>
        <w:spacing w:after="0"/>
        <w:jc w:val="center"/>
        <w:rPr>
          <w:rFonts w:ascii="Times New Roman" w:hAnsi="Times New Roman" w:cs="Times New Roman"/>
          <w:b/>
        </w:rPr>
      </w:pPr>
      <w:r w:rsidRPr="00C80417">
        <w:rPr>
          <w:rFonts w:ascii="Times New Roman" w:hAnsi="Times New Roman" w:cs="Times New Roman"/>
          <w:b/>
        </w:rPr>
        <w:t>LA DIRECTORA DEL REGISTRO DE LA PROPIEDAD INMUEBLE DEL CHACO</w:t>
      </w:r>
    </w:p>
    <w:p w:rsidR="00083DF5" w:rsidRPr="00C80417" w:rsidRDefault="00083DF5" w:rsidP="005C61C3">
      <w:pPr>
        <w:spacing w:after="0"/>
        <w:jc w:val="center"/>
        <w:rPr>
          <w:rFonts w:ascii="Times New Roman" w:hAnsi="Times New Roman" w:cs="Times New Roman"/>
          <w:b/>
          <w:u w:val="single"/>
        </w:rPr>
      </w:pPr>
      <w:r w:rsidRPr="00C80417">
        <w:rPr>
          <w:rFonts w:ascii="Times New Roman" w:hAnsi="Times New Roman" w:cs="Times New Roman"/>
          <w:b/>
          <w:u w:val="single"/>
        </w:rPr>
        <w:t>DISPONE</w:t>
      </w:r>
    </w:p>
    <w:p w:rsidR="00083DF5" w:rsidRPr="00C80417" w:rsidRDefault="00083DF5" w:rsidP="005C61C3">
      <w:pPr>
        <w:spacing w:after="0"/>
        <w:jc w:val="both"/>
        <w:rPr>
          <w:rFonts w:ascii="Times New Roman" w:hAnsi="Times New Roman" w:cs="Times New Roman"/>
        </w:rPr>
      </w:pPr>
      <w:r w:rsidRPr="00C80417">
        <w:rPr>
          <w:rFonts w:ascii="Times New Roman" w:hAnsi="Times New Roman" w:cs="Times New Roman"/>
        </w:rPr>
        <w:lastRenderedPageBreak/>
        <w:t>ART. 1: INSCRIBIR la titularidad de dominio a nombre de</w:t>
      </w:r>
      <w:r w:rsidR="001A65C1" w:rsidRPr="00C80417">
        <w:rPr>
          <w:rFonts w:ascii="Times New Roman" w:hAnsi="Times New Roman" w:cs="Times New Roman"/>
        </w:rPr>
        <w:t xml:space="preserve"> las sociedades previstas en el art. 23 del CCC</w:t>
      </w:r>
      <w:r w:rsidRPr="00C80417">
        <w:rPr>
          <w:rFonts w:ascii="Times New Roman" w:hAnsi="Times New Roman" w:cs="Times New Roman"/>
        </w:rPr>
        <w:t xml:space="preserve"> que adquiera</w:t>
      </w:r>
      <w:r w:rsidR="001A65C1" w:rsidRPr="00C80417">
        <w:rPr>
          <w:rFonts w:ascii="Times New Roman" w:hAnsi="Times New Roman" w:cs="Times New Roman"/>
        </w:rPr>
        <w:t>n</w:t>
      </w:r>
      <w:r w:rsidRPr="00C80417">
        <w:rPr>
          <w:rFonts w:ascii="Times New Roman" w:hAnsi="Times New Roman" w:cs="Times New Roman"/>
        </w:rPr>
        <w:t xml:space="preserve"> inmuebles conforme lo dispuesto en los considerandos de la presente Disposición.</w:t>
      </w:r>
    </w:p>
    <w:p w:rsidR="00083DF5" w:rsidRPr="00C80417" w:rsidRDefault="00083DF5" w:rsidP="005C61C3">
      <w:pPr>
        <w:spacing w:after="0"/>
        <w:jc w:val="both"/>
        <w:rPr>
          <w:rFonts w:ascii="Times New Roman" w:hAnsi="Times New Roman" w:cs="Times New Roman"/>
        </w:rPr>
      </w:pPr>
      <w:r w:rsidRPr="00C80417">
        <w:rPr>
          <w:rFonts w:ascii="Times New Roman" w:hAnsi="Times New Roman" w:cs="Times New Roman"/>
        </w:rPr>
        <w:t>ART. 2: NOTIFIQUESE, regístrese, publíquese en el Boletín Oficial y archívese.</w:t>
      </w:r>
    </w:p>
    <w:p w:rsidR="005C61C3" w:rsidRPr="00C80417" w:rsidRDefault="005C61C3" w:rsidP="005C61C3">
      <w:pPr>
        <w:spacing w:after="0"/>
        <w:jc w:val="both"/>
        <w:rPr>
          <w:rFonts w:ascii="Times New Roman" w:hAnsi="Times New Roman" w:cs="Times New Roman"/>
        </w:rPr>
      </w:pPr>
    </w:p>
    <w:p w:rsidR="00083DF5" w:rsidRPr="00C80417" w:rsidRDefault="00B6651E" w:rsidP="005C61C3">
      <w:pPr>
        <w:spacing w:after="0"/>
        <w:jc w:val="both"/>
        <w:rPr>
          <w:rFonts w:ascii="Bookman Old Style" w:hAnsi="Bookman Old Style"/>
          <w:b/>
          <w:u w:val="single"/>
        </w:rPr>
      </w:pPr>
      <w:r>
        <w:rPr>
          <w:rFonts w:ascii="Times New Roman" w:hAnsi="Times New Roman" w:cs="Times New Roman"/>
          <w:b/>
          <w:u w:val="single"/>
        </w:rPr>
        <w:t>DISPOSICION TECNICO REGISTRAL 35</w:t>
      </w:r>
      <w:r w:rsidR="00083DF5" w:rsidRPr="00C80417">
        <w:rPr>
          <w:rFonts w:ascii="Times New Roman" w:hAnsi="Times New Roman" w:cs="Times New Roman"/>
          <w:b/>
          <w:u w:val="single"/>
        </w:rPr>
        <w:t xml:space="preserve"> /</w:t>
      </w:r>
      <w:r>
        <w:rPr>
          <w:rFonts w:ascii="Times New Roman" w:hAnsi="Times New Roman" w:cs="Times New Roman"/>
          <w:b/>
          <w:u w:val="single"/>
        </w:rPr>
        <w:t>20</w:t>
      </w:r>
      <w:r w:rsidR="00083DF5" w:rsidRPr="00C80417">
        <w:rPr>
          <w:rFonts w:ascii="Times New Roman" w:hAnsi="Times New Roman" w:cs="Times New Roman"/>
          <w:b/>
          <w:u w:val="single"/>
        </w:rPr>
        <w:t>15.</w:t>
      </w:r>
      <w:r>
        <w:rPr>
          <w:rFonts w:ascii="Times New Roman" w:hAnsi="Times New Roman" w:cs="Times New Roman"/>
          <w:b/>
          <w:u w:val="single"/>
        </w:rPr>
        <w:t>-</w:t>
      </w:r>
      <w:r w:rsidR="00083DF5" w:rsidRPr="00C80417">
        <w:rPr>
          <w:rFonts w:ascii="Bookman Old Style" w:hAnsi="Bookman Old Style"/>
          <w:b/>
          <w:u w:val="single"/>
        </w:rPr>
        <w:t xml:space="preserve"> </w:t>
      </w:r>
    </w:p>
    <w:p w:rsidR="00A60F82" w:rsidRDefault="00A60F82" w:rsidP="00A60F82">
      <w:pPr>
        <w:spacing w:after="0"/>
        <w:ind w:left="3828"/>
        <w:jc w:val="center"/>
        <w:rPr>
          <w:rFonts w:ascii="Times New Roman" w:hAnsi="Times New Roman" w:cs="Times New Roman"/>
        </w:rPr>
      </w:pPr>
    </w:p>
    <w:p w:rsidR="00A60F82" w:rsidRDefault="00A60F82" w:rsidP="00A60F82">
      <w:pPr>
        <w:spacing w:after="0"/>
        <w:ind w:left="3828"/>
        <w:jc w:val="center"/>
        <w:rPr>
          <w:rFonts w:ascii="Times New Roman" w:hAnsi="Times New Roman" w:cs="Times New Roman"/>
        </w:rPr>
      </w:pPr>
    </w:p>
    <w:p w:rsidR="00A60F82" w:rsidRDefault="00A60F82" w:rsidP="00A60F82">
      <w:pPr>
        <w:spacing w:after="0"/>
        <w:ind w:left="3828"/>
        <w:jc w:val="center"/>
        <w:rPr>
          <w:rFonts w:ascii="Times New Roman" w:hAnsi="Times New Roman" w:cs="Times New Roman"/>
        </w:rPr>
      </w:pPr>
      <w:r>
        <w:rPr>
          <w:rFonts w:ascii="Times New Roman" w:hAnsi="Times New Roman" w:cs="Times New Roman"/>
        </w:rPr>
        <w:t>LILIA NOEMI DIEZ</w:t>
      </w:r>
    </w:p>
    <w:p w:rsidR="00A60F82" w:rsidRDefault="00A60F82" w:rsidP="00A60F82">
      <w:pPr>
        <w:spacing w:after="0"/>
        <w:ind w:left="3828"/>
        <w:jc w:val="center"/>
        <w:rPr>
          <w:rFonts w:ascii="Times New Roman" w:hAnsi="Times New Roman" w:cs="Times New Roman"/>
        </w:rPr>
      </w:pPr>
      <w:r>
        <w:rPr>
          <w:rFonts w:ascii="Times New Roman" w:hAnsi="Times New Roman" w:cs="Times New Roman"/>
        </w:rPr>
        <w:t>ABOGADA-ESCRIBANA</w:t>
      </w:r>
    </w:p>
    <w:p w:rsidR="00A60F82" w:rsidRDefault="00A60F82" w:rsidP="00A60F82">
      <w:pPr>
        <w:spacing w:after="0"/>
        <w:ind w:left="3828"/>
        <w:jc w:val="center"/>
        <w:rPr>
          <w:rFonts w:ascii="Times New Roman" w:hAnsi="Times New Roman" w:cs="Times New Roman"/>
        </w:rPr>
      </w:pPr>
      <w:r>
        <w:rPr>
          <w:rFonts w:ascii="Times New Roman" w:hAnsi="Times New Roman" w:cs="Times New Roman"/>
        </w:rPr>
        <w:t>DIRECTORA</w:t>
      </w:r>
    </w:p>
    <w:p w:rsidR="00A60F82" w:rsidRDefault="00A60F82" w:rsidP="00A60F82">
      <w:pPr>
        <w:spacing w:after="0"/>
        <w:ind w:left="3828"/>
        <w:jc w:val="center"/>
        <w:rPr>
          <w:rFonts w:ascii="Times New Roman" w:hAnsi="Times New Roman" w:cs="Times New Roman"/>
        </w:rPr>
      </w:pPr>
      <w:r>
        <w:rPr>
          <w:rFonts w:ascii="Times New Roman" w:hAnsi="Times New Roman" w:cs="Times New Roman"/>
        </w:rPr>
        <w:t>REGISTRO DE LA PROPIEDAD INMUEBLE</w:t>
      </w:r>
    </w:p>
    <w:p w:rsidR="00A60F82" w:rsidRDefault="00A60F82" w:rsidP="00A60F82">
      <w:pPr>
        <w:spacing w:after="0" w:line="240" w:lineRule="auto"/>
        <w:jc w:val="center"/>
        <w:rPr>
          <w:rFonts w:ascii="Times New Roman" w:hAnsi="Times New Roman" w:cs="Times New Roman"/>
        </w:rPr>
      </w:pPr>
    </w:p>
    <w:p w:rsidR="00E45102" w:rsidRDefault="00E45102" w:rsidP="00A60F82">
      <w:pPr>
        <w:jc w:val="center"/>
      </w:pPr>
    </w:p>
    <w:sectPr w:rsidR="00E45102" w:rsidSect="002F19F1">
      <w:pgSz w:w="11907" w:h="16839" w:code="9"/>
      <w:pgMar w:top="1418" w:right="1304" w:bottom="141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4219B3"/>
    <w:multiLevelType w:val="hybridMultilevel"/>
    <w:tmpl w:val="1F1E46B2"/>
    <w:lvl w:ilvl="0" w:tplc="52EED934">
      <w:start w:val="1"/>
      <w:numFmt w:val="decimal"/>
      <w:lvlText w:val="%1)"/>
      <w:lvlJc w:val="left"/>
      <w:pPr>
        <w:ind w:left="3195" w:hanging="360"/>
      </w:pPr>
      <w:rPr>
        <w:rFonts w:hint="default"/>
      </w:rPr>
    </w:lvl>
    <w:lvl w:ilvl="1" w:tplc="2C0A0019" w:tentative="1">
      <w:start w:val="1"/>
      <w:numFmt w:val="lowerLetter"/>
      <w:lvlText w:val="%2."/>
      <w:lvlJc w:val="left"/>
      <w:pPr>
        <w:ind w:left="3915" w:hanging="360"/>
      </w:pPr>
    </w:lvl>
    <w:lvl w:ilvl="2" w:tplc="2C0A001B" w:tentative="1">
      <w:start w:val="1"/>
      <w:numFmt w:val="lowerRoman"/>
      <w:lvlText w:val="%3."/>
      <w:lvlJc w:val="right"/>
      <w:pPr>
        <w:ind w:left="4635" w:hanging="180"/>
      </w:pPr>
    </w:lvl>
    <w:lvl w:ilvl="3" w:tplc="2C0A000F" w:tentative="1">
      <w:start w:val="1"/>
      <w:numFmt w:val="decimal"/>
      <w:lvlText w:val="%4."/>
      <w:lvlJc w:val="left"/>
      <w:pPr>
        <w:ind w:left="5355" w:hanging="360"/>
      </w:pPr>
    </w:lvl>
    <w:lvl w:ilvl="4" w:tplc="2C0A0019" w:tentative="1">
      <w:start w:val="1"/>
      <w:numFmt w:val="lowerLetter"/>
      <w:lvlText w:val="%5."/>
      <w:lvlJc w:val="left"/>
      <w:pPr>
        <w:ind w:left="6075" w:hanging="360"/>
      </w:pPr>
    </w:lvl>
    <w:lvl w:ilvl="5" w:tplc="2C0A001B" w:tentative="1">
      <w:start w:val="1"/>
      <w:numFmt w:val="lowerRoman"/>
      <w:lvlText w:val="%6."/>
      <w:lvlJc w:val="right"/>
      <w:pPr>
        <w:ind w:left="6795" w:hanging="180"/>
      </w:pPr>
    </w:lvl>
    <w:lvl w:ilvl="6" w:tplc="2C0A000F" w:tentative="1">
      <w:start w:val="1"/>
      <w:numFmt w:val="decimal"/>
      <w:lvlText w:val="%7."/>
      <w:lvlJc w:val="left"/>
      <w:pPr>
        <w:ind w:left="7515" w:hanging="360"/>
      </w:pPr>
    </w:lvl>
    <w:lvl w:ilvl="7" w:tplc="2C0A0019" w:tentative="1">
      <w:start w:val="1"/>
      <w:numFmt w:val="lowerLetter"/>
      <w:lvlText w:val="%8."/>
      <w:lvlJc w:val="left"/>
      <w:pPr>
        <w:ind w:left="8235" w:hanging="360"/>
      </w:pPr>
    </w:lvl>
    <w:lvl w:ilvl="8" w:tplc="2C0A001B" w:tentative="1">
      <w:start w:val="1"/>
      <w:numFmt w:val="lowerRoman"/>
      <w:lvlText w:val="%9."/>
      <w:lvlJc w:val="right"/>
      <w:pPr>
        <w:ind w:left="895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083DF5"/>
    <w:rsid w:val="00083DF5"/>
    <w:rsid w:val="0009659E"/>
    <w:rsid w:val="001609F2"/>
    <w:rsid w:val="001A65C1"/>
    <w:rsid w:val="002F19F1"/>
    <w:rsid w:val="004017AB"/>
    <w:rsid w:val="00417280"/>
    <w:rsid w:val="005C61C3"/>
    <w:rsid w:val="007E4E87"/>
    <w:rsid w:val="00A10F93"/>
    <w:rsid w:val="00A60F82"/>
    <w:rsid w:val="00A95102"/>
    <w:rsid w:val="00B36F16"/>
    <w:rsid w:val="00B6651E"/>
    <w:rsid w:val="00C77E50"/>
    <w:rsid w:val="00C80417"/>
    <w:rsid w:val="00DE1D6C"/>
    <w:rsid w:val="00E45102"/>
    <w:rsid w:val="00F65E6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DF5"/>
  </w:style>
  <w:style w:type="paragraph" w:styleId="Ttulo6">
    <w:name w:val="heading 6"/>
    <w:basedOn w:val="Normal"/>
    <w:next w:val="Normal"/>
    <w:link w:val="Ttulo6Car"/>
    <w:unhideWhenUsed/>
    <w:qFormat/>
    <w:rsid w:val="005C61C3"/>
    <w:pPr>
      <w:keepNext/>
      <w:spacing w:after="0" w:line="240" w:lineRule="auto"/>
      <w:ind w:right="3878"/>
      <w:jc w:val="center"/>
      <w:outlineLvl w:val="5"/>
    </w:pPr>
    <w:rPr>
      <w:rFonts w:ascii="Book Antiqua" w:eastAsia="Times New Roman" w:hAnsi="Book Antiqua" w:cs="Times New Roman"/>
      <w:i/>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77E50"/>
    <w:pPr>
      <w:ind w:left="720"/>
      <w:contextualSpacing/>
    </w:pPr>
  </w:style>
  <w:style w:type="character" w:customStyle="1" w:styleId="Ttulo6Car">
    <w:name w:val="Título 6 Car"/>
    <w:basedOn w:val="Fuentedeprrafopredeter"/>
    <w:link w:val="Ttulo6"/>
    <w:rsid w:val="005C61C3"/>
    <w:rPr>
      <w:rFonts w:ascii="Book Antiqua" w:eastAsia="Times New Roman" w:hAnsi="Book Antiqua" w:cs="Times New Roman"/>
      <w: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45573504">
      <w:bodyDiv w:val="1"/>
      <w:marLeft w:val="0"/>
      <w:marRight w:val="0"/>
      <w:marTop w:val="0"/>
      <w:marBottom w:val="0"/>
      <w:divBdr>
        <w:top w:val="none" w:sz="0" w:space="0" w:color="auto"/>
        <w:left w:val="none" w:sz="0" w:space="0" w:color="auto"/>
        <w:bottom w:val="none" w:sz="0" w:space="0" w:color="auto"/>
        <w:right w:val="none" w:sz="0" w:space="0" w:color="auto"/>
      </w:divBdr>
    </w:div>
    <w:div w:id="63532528">
      <w:bodyDiv w:val="1"/>
      <w:marLeft w:val="0"/>
      <w:marRight w:val="0"/>
      <w:marTop w:val="0"/>
      <w:marBottom w:val="0"/>
      <w:divBdr>
        <w:top w:val="none" w:sz="0" w:space="0" w:color="auto"/>
        <w:left w:val="none" w:sz="0" w:space="0" w:color="auto"/>
        <w:bottom w:val="none" w:sz="0" w:space="0" w:color="auto"/>
        <w:right w:val="none" w:sz="0" w:space="0" w:color="auto"/>
      </w:divBdr>
    </w:div>
    <w:div w:id="259610384">
      <w:bodyDiv w:val="1"/>
      <w:marLeft w:val="0"/>
      <w:marRight w:val="0"/>
      <w:marTop w:val="0"/>
      <w:marBottom w:val="0"/>
      <w:divBdr>
        <w:top w:val="none" w:sz="0" w:space="0" w:color="auto"/>
        <w:left w:val="none" w:sz="0" w:space="0" w:color="auto"/>
        <w:bottom w:val="none" w:sz="0" w:space="0" w:color="auto"/>
        <w:right w:val="none" w:sz="0" w:space="0" w:color="auto"/>
      </w:divBdr>
    </w:div>
    <w:div w:id="139462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507</Words>
  <Characters>2790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noemi</dc:creator>
  <cp:lastModifiedBy>dominio13</cp:lastModifiedBy>
  <cp:revision>9</cp:revision>
  <cp:lastPrinted>2015-09-23T10:30:00Z</cp:lastPrinted>
  <dcterms:created xsi:type="dcterms:W3CDTF">2015-07-13T20:17:00Z</dcterms:created>
  <dcterms:modified xsi:type="dcterms:W3CDTF">2015-10-27T11:05:00Z</dcterms:modified>
</cp:coreProperties>
</file>