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02" w:rsidRPr="007F40A9" w:rsidRDefault="009F519E">
      <w:pPr>
        <w:rPr>
          <w:sz w:val="24"/>
          <w:szCs w:val="24"/>
        </w:rPr>
      </w:pPr>
      <w:r w:rsidRPr="007F40A9">
        <w:rPr>
          <w:sz w:val="24"/>
          <w:szCs w:val="24"/>
        </w:rPr>
        <w:tab/>
      </w:r>
      <w:r w:rsidRPr="007F40A9">
        <w:rPr>
          <w:sz w:val="24"/>
          <w:szCs w:val="24"/>
        </w:rPr>
        <w:tab/>
      </w:r>
      <w:r w:rsidRPr="007F40A9">
        <w:rPr>
          <w:sz w:val="24"/>
          <w:szCs w:val="24"/>
        </w:rPr>
        <w:tab/>
      </w:r>
      <w:r w:rsidRPr="007F40A9">
        <w:rPr>
          <w:sz w:val="24"/>
          <w:szCs w:val="24"/>
        </w:rPr>
        <w:tab/>
      </w:r>
      <w:r w:rsidR="00404DBB" w:rsidRPr="007F40A9">
        <w:rPr>
          <w:sz w:val="24"/>
          <w:szCs w:val="24"/>
        </w:rPr>
        <w:tab/>
      </w:r>
      <w:r w:rsidR="00404DBB" w:rsidRPr="007F40A9">
        <w:rPr>
          <w:sz w:val="24"/>
          <w:szCs w:val="24"/>
        </w:rPr>
        <w:tab/>
      </w:r>
      <w:r w:rsidRPr="007F40A9">
        <w:rPr>
          <w:sz w:val="24"/>
          <w:szCs w:val="24"/>
        </w:rPr>
        <w:t xml:space="preserve">Resistencia, </w:t>
      </w:r>
      <w:r w:rsidR="003F1EF5" w:rsidRPr="007F40A9">
        <w:rPr>
          <w:sz w:val="24"/>
          <w:szCs w:val="24"/>
        </w:rPr>
        <w:t>23</w:t>
      </w:r>
      <w:r w:rsidR="005A36F8" w:rsidRPr="007F40A9">
        <w:rPr>
          <w:sz w:val="24"/>
          <w:szCs w:val="24"/>
        </w:rPr>
        <w:t xml:space="preserve"> de juli</w:t>
      </w:r>
      <w:r w:rsidRPr="007F40A9">
        <w:rPr>
          <w:sz w:val="24"/>
          <w:szCs w:val="24"/>
        </w:rPr>
        <w:t>o de 2015.</w:t>
      </w:r>
    </w:p>
    <w:p w:rsidR="006F2B08" w:rsidRPr="007F40A9" w:rsidRDefault="006F2B08">
      <w:pPr>
        <w:rPr>
          <w:sz w:val="24"/>
          <w:szCs w:val="24"/>
        </w:rPr>
      </w:pPr>
    </w:p>
    <w:p w:rsidR="009F519E" w:rsidRPr="007F40A9" w:rsidRDefault="009F519E" w:rsidP="00DA6811">
      <w:pPr>
        <w:jc w:val="both"/>
        <w:rPr>
          <w:sz w:val="24"/>
          <w:szCs w:val="24"/>
        </w:rPr>
      </w:pPr>
      <w:r w:rsidRPr="007F40A9">
        <w:rPr>
          <w:sz w:val="24"/>
          <w:szCs w:val="24"/>
        </w:rPr>
        <w:t xml:space="preserve">VISTO: La nota N° 1289/15 del 23 de abril de Fiscalía de Estado y la nota de fecha 17 de julio ambas del corriente año, y </w:t>
      </w:r>
    </w:p>
    <w:p w:rsidR="009F519E" w:rsidRPr="007F40A9" w:rsidRDefault="009F519E" w:rsidP="008A3708">
      <w:pPr>
        <w:jc w:val="both"/>
        <w:rPr>
          <w:sz w:val="24"/>
          <w:szCs w:val="24"/>
        </w:rPr>
      </w:pPr>
      <w:r w:rsidRPr="007F40A9">
        <w:rPr>
          <w:sz w:val="24"/>
          <w:szCs w:val="24"/>
        </w:rPr>
        <w:t>CONSIDERANDO. Que por la primera de ellas se solicita una “reconsideración” de la calificación del registrador.</w:t>
      </w:r>
    </w:p>
    <w:p w:rsidR="009F519E" w:rsidRPr="007F40A9" w:rsidRDefault="009F519E" w:rsidP="009F519E">
      <w:pPr>
        <w:jc w:val="both"/>
        <w:rPr>
          <w:sz w:val="24"/>
          <w:szCs w:val="24"/>
        </w:rPr>
      </w:pPr>
      <w:r w:rsidRPr="007F40A9">
        <w:rPr>
          <w:sz w:val="24"/>
          <w:szCs w:val="24"/>
        </w:rPr>
        <w:tab/>
      </w:r>
      <w:r w:rsidRPr="007F40A9">
        <w:rPr>
          <w:sz w:val="24"/>
          <w:szCs w:val="24"/>
        </w:rPr>
        <w:tab/>
        <w:t xml:space="preserve">   Que no existe dentro del trámite recursivo registral, como así tampoco en la ley de procedimientos administ</w:t>
      </w:r>
      <w:r w:rsidR="003E73DF" w:rsidRPr="007F40A9">
        <w:rPr>
          <w:sz w:val="24"/>
          <w:szCs w:val="24"/>
        </w:rPr>
        <w:t>rativos, una “reconsideración”,</w:t>
      </w:r>
      <w:r w:rsidRPr="007F40A9">
        <w:rPr>
          <w:sz w:val="24"/>
          <w:szCs w:val="24"/>
        </w:rPr>
        <w:t>-o recurso de reconsideración- siguiendo el principio de informalismo</w:t>
      </w:r>
      <w:r w:rsidR="00540D81" w:rsidRPr="007F40A9">
        <w:rPr>
          <w:sz w:val="24"/>
          <w:szCs w:val="24"/>
        </w:rPr>
        <w:t>.</w:t>
      </w:r>
    </w:p>
    <w:p w:rsidR="00540D81" w:rsidRPr="007F40A9" w:rsidRDefault="00540D81" w:rsidP="009F519E">
      <w:pPr>
        <w:jc w:val="both"/>
        <w:rPr>
          <w:sz w:val="24"/>
          <w:szCs w:val="24"/>
        </w:rPr>
      </w:pPr>
      <w:r w:rsidRPr="007F40A9">
        <w:rPr>
          <w:sz w:val="24"/>
          <w:szCs w:val="24"/>
        </w:rPr>
        <w:tab/>
      </w:r>
      <w:r w:rsidRPr="007F40A9">
        <w:rPr>
          <w:sz w:val="24"/>
          <w:szCs w:val="24"/>
        </w:rPr>
        <w:tab/>
        <w:t xml:space="preserve">  Que este recurso no está previsto en la ley 1140 entre organismos del estado, sino entre particulares, frente a la actividad del estado. Por lo tanto ante la falta de legitimación esta Dirección, no puede imprimir a </w:t>
      </w:r>
      <w:r w:rsidR="005A36F8" w:rsidRPr="007F40A9">
        <w:rPr>
          <w:sz w:val="24"/>
          <w:szCs w:val="24"/>
        </w:rPr>
        <w:t>la nota el trámite recursivo reg</w:t>
      </w:r>
      <w:r w:rsidRPr="007F40A9">
        <w:rPr>
          <w:sz w:val="24"/>
          <w:szCs w:val="24"/>
        </w:rPr>
        <w:t>istral.</w:t>
      </w:r>
    </w:p>
    <w:p w:rsidR="00540D81" w:rsidRPr="007F40A9" w:rsidRDefault="00540D81" w:rsidP="009F519E">
      <w:pPr>
        <w:jc w:val="both"/>
        <w:rPr>
          <w:sz w:val="24"/>
          <w:szCs w:val="24"/>
        </w:rPr>
      </w:pPr>
      <w:r w:rsidRPr="007F40A9">
        <w:rPr>
          <w:sz w:val="24"/>
          <w:szCs w:val="24"/>
        </w:rPr>
        <w:tab/>
      </w:r>
      <w:r w:rsidRPr="007F40A9">
        <w:rPr>
          <w:sz w:val="24"/>
          <w:szCs w:val="24"/>
        </w:rPr>
        <w:tab/>
        <w:t xml:space="preserve">Que no obstante ello, esta Dirección considera conveniente recalificar los documentos ingresados bajo N° de Mesa de Entradas, 43370, del 10/12/14, 41718, del 20/12/14; y 4297, 4298 </w:t>
      </w:r>
      <w:r w:rsidR="005A36F8" w:rsidRPr="007F40A9">
        <w:rPr>
          <w:sz w:val="24"/>
          <w:szCs w:val="24"/>
        </w:rPr>
        <w:t>del 17/3/15.</w:t>
      </w:r>
    </w:p>
    <w:p w:rsidR="00640B96" w:rsidRPr="007F40A9" w:rsidRDefault="00640B96" w:rsidP="009F519E">
      <w:pPr>
        <w:jc w:val="both"/>
        <w:rPr>
          <w:sz w:val="24"/>
          <w:szCs w:val="24"/>
        </w:rPr>
      </w:pPr>
      <w:r w:rsidRPr="007F40A9">
        <w:rPr>
          <w:sz w:val="24"/>
          <w:szCs w:val="24"/>
        </w:rPr>
        <w:tab/>
      </w:r>
      <w:r w:rsidRPr="007F40A9">
        <w:rPr>
          <w:sz w:val="24"/>
          <w:szCs w:val="24"/>
        </w:rPr>
        <w:tab/>
        <w:t>Que conforme l</w:t>
      </w:r>
      <w:r w:rsidR="001B28DF" w:rsidRPr="007F40A9">
        <w:rPr>
          <w:sz w:val="24"/>
          <w:szCs w:val="24"/>
        </w:rPr>
        <w:t>o dispuesto en el art</w:t>
      </w:r>
      <w:r w:rsidR="006F2B08" w:rsidRPr="007F40A9">
        <w:rPr>
          <w:sz w:val="24"/>
          <w:szCs w:val="24"/>
        </w:rPr>
        <w:t>.</w:t>
      </w:r>
      <w:r w:rsidR="001B28DF" w:rsidRPr="007F40A9">
        <w:rPr>
          <w:sz w:val="24"/>
          <w:szCs w:val="24"/>
        </w:rPr>
        <w:t xml:space="preserve"> 1884 inc. 1</w:t>
      </w:r>
      <w:r w:rsidRPr="007F40A9">
        <w:rPr>
          <w:sz w:val="24"/>
          <w:szCs w:val="24"/>
        </w:rPr>
        <w:t xml:space="preserve">) </w:t>
      </w:r>
      <w:r w:rsidR="001B28DF" w:rsidRPr="007F40A9">
        <w:rPr>
          <w:sz w:val="24"/>
          <w:szCs w:val="24"/>
        </w:rPr>
        <w:t xml:space="preserve">y 8) </w:t>
      </w:r>
      <w:r w:rsidRPr="007F40A9">
        <w:rPr>
          <w:sz w:val="24"/>
          <w:szCs w:val="24"/>
        </w:rPr>
        <w:t xml:space="preserve">del Código Civil, la transmisión de dominio de un inmueble </w:t>
      </w:r>
      <w:r w:rsidR="001B28DF" w:rsidRPr="007F40A9">
        <w:rPr>
          <w:sz w:val="24"/>
          <w:szCs w:val="24"/>
        </w:rPr>
        <w:t>debe realizarse por escritura pública</w:t>
      </w:r>
    </w:p>
    <w:p w:rsidR="005A36F8" w:rsidRPr="007F40A9" w:rsidRDefault="005A36F8" w:rsidP="007F40A9">
      <w:pPr>
        <w:autoSpaceDE w:val="0"/>
        <w:autoSpaceDN w:val="0"/>
        <w:adjustRightInd w:val="0"/>
        <w:spacing w:after="0" w:line="240" w:lineRule="auto"/>
        <w:jc w:val="both"/>
        <w:rPr>
          <w:sz w:val="24"/>
          <w:szCs w:val="24"/>
        </w:rPr>
      </w:pPr>
      <w:r w:rsidRPr="007F40A9">
        <w:rPr>
          <w:sz w:val="24"/>
          <w:szCs w:val="24"/>
        </w:rPr>
        <w:tab/>
      </w:r>
      <w:r w:rsidRPr="007F40A9">
        <w:rPr>
          <w:sz w:val="24"/>
          <w:szCs w:val="24"/>
        </w:rPr>
        <w:tab/>
        <w:t xml:space="preserve">Que </w:t>
      </w:r>
      <w:r w:rsidR="001B28DF" w:rsidRPr="007F40A9">
        <w:rPr>
          <w:sz w:val="24"/>
          <w:szCs w:val="24"/>
        </w:rPr>
        <w:t xml:space="preserve">con referencia a la cuestión terminológica expresada en el punto I) de la nota </w:t>
      </w:r>
      <w:r w:rsidRPr="007F40A9">
        <w:rPr>
          <w:sz w:val="24"/>
          <w:szCs w:val="24"/>
        </w:rPr>
        <w:t>e</w:t>
      </w:r>
      <w:r w:rsidR="00AD203A">
        <w:rPr>
          <w:sz w:val="24"/>
          <w:szCs w:val="24"/>
        </w:rPr>
        <w:t>sta Dirección entiende que no son</w:t>
      </w:r>
      <w:r w:rsidRPr="007F40A9">
        <w:rPr>
          <w:sz w:val="24"/>
          <w:szCs w:val="24"/>
        </w:rPr>
        <w:t xml:space="preserve"> lo mismo </w:t>
      </w:r>
      <w:r w:rsidR="00AD203A">
        <w:rPr>
          <w:sz w:val="24"/>
          <w:szCs w:val="24"/>
        </w:rPr>
        <w:t xml:space="preserve">los verbos </w:t>
      </w:r>
      <w:r w:rsidRPr="007F40A9">
        <w:rPr>
          <w:sz w:val="24"/>
          <w:szCs w:val="24"/>
        </w:rPr>
        <w:t>“</w:t>
      </w:r>
      <w:r w:rsidRPr="007F40A9">
        <w:rPr>
          <w:i/>
          <w:sz w:val="24"/>
          <w:szCs w:val="24"/>
          <w:u w:val="single"/>
        </w:rPr>
        <w:t>inscribir”,</w:t>
      </w:r>
      <w:r w:rsidRPr="007F40A9">
        <w:rPr>
          <w:sz w:val="24"/>
          <w:szCs w:val="24"/>
        </w:rPr>
        <w:t xml:space="preserve"> que “</w:t>
      </w:r>
      <w:r w:rsidRPr="007F40A9">
        <w:rPr>
          <w:i/>
          <w:sz w:val="24"/>
          <w:szCs w:val="24"/>
          <w:u w:val="single"/>
        </w:rPr>
        <w:t>escritura</w:t>
      </w:r>
      <w:r w:rsidR="00640B96" w:rsidRPr="007F40A9">
        <w:rPr>
          <w:i/>
          <w:sz w:val="24"/>
          <w:szCs w:val="24"/>
          <w:u w:val="single"/>
        </w:rPr>
        <w:t>r</w:t>
      </w:r>
      <w:r w:rsidRPr="007F40A9">
        <w:rPr>
          <w:i/>
          <w:sz w:val="24"/>
          <w:szCs w:val="24"/>
        </w:rPr>
        <w:t>”,</w:t>
      </w:r>
      <w:r w:rsidRPr="007F40A9">
        <w:rPr>
          <w:sz w:val="24"/>
          <w:szCs w:val="24"/>
        </w:rPr>
        <w:t xml:space="preserve"> </w:t>
      </w:r>
      <w:r w:rsidR="005E0250" w:rsidRPr="007F40A9">
        <w:rPr>
          <w:sz w:val="24"/>
          <w:szCs w:val="24"/>
        </w:rPr>
        <w:t xml:space="preserve">cuyos significados son antitéticos; </w:t>
      </w:r>
      <w:r w:rsidRPr="007F40A9">
        <w:rPr>
          <w:sz w:val="24"/>
          <w:szCs w:val="24"/>
        </w:rPr>
        <w:t>si</w:t>
      </w:r>
      <w:r w:rsidR="006F2B08" w:rsidRPr="007F40A9">
        <w:rPr>
          <w:sz w:val="24"/>
          <w:szCs w:val="24"/>
        </w:rPr>
        <w:t>gn</w:t>
      </w:r>
      <w:r w:rsidR="001B28DF" w:rsidRPr="007F40A9">
        <w:rPr>
          <w:sz w:val="24"/>
          <w:szCs w:val="24"/>
        </w:rPr>
        <w:t>ificando</w:t>
      </w:r>
      <w:r w:rsidRPr="007F40A9">
        <w:rPr>
          <w:sz w:val="24"/>
          <w:szCs w:val="24"/>
        </w:rPr>
        <w:t xml:space="preserve"> la primera de las voces</w:t>
      </w:r>
      <w:r w:rsidR="00B97F29" w:rsidRPr="007F40A9">
        <w:rPr>
          <w:sz w:val="24"/>
          <w:szCs w:val="24"/>
        </w:rPr>
        <w:t xml:space="preserve"> </w:t>
      </w:r>
      <w:r w:rsidR="004D5E0F" w:rsidRPr="007F40A9">
        <w:rPr>
          <w:sz w:val="24"/>
          <w:szCs w:val="24"/>
        </w:rPr>
        <w:t>“</w:t>
      </w:r>
      <w:r w:rsidR="00B97F29" w:rsidRPr="007F40A9">
        <w:rPr>
          <w:b/>
          <w:sz w:val="24"/>
          <w:szCs w:val="24"/>
        </w:rPr>
        <w:t>i</w:t>
      </w:r>
      <w:r w:rsidR="005E0250" w:rsidRPr="007F40A9">
        <w:rPr>
          <w:b/>
          <w:sz w:val="24"/>
          <w:szCs w:val="24"/>
        </w:rPr>
        <w:t>nscribir</w:t>
      </w:r>
      <w:r w:rsidR="004D5E0F" w:rsidRPr="007F40A9">
        <w:rPr>
          <w:b/>
          <w:sz w:val="24"/>
          <w:szCs w:val="24"/>
        </w:rPr>
        <w:t>”</w:t>
      </w:r>
      <w:r w:rsidR="005E0250" w:rsidRPr="007F40A9">
        <w:rPr>
          <w:sz w:val="24"/>
          <w:szCs w:val="24"/>
        </w:rPr>
        <w:t xml:space="preserve">: </w:t>
      </w:r>
      <w:r w:rsidR="00B97F29" w:rsidRPr="007F40A9">
        <w:rPr>
          <w:i/>
          <w:sz w:val="24"/>
          <w:szCs w:val="24"/>
        </w:rPr>
        <w:t xml:space="preserve">acción de </w:t>
      </w:r>
      <w:r w:rsidR="005E0250" w:rsidRPr="007F40A9">
        <w:rPr>
          <w:i/>
          <w:sz w:val="24"/>
          <w:szCs w:val="24"/>
        </w:rPr>
        <w:t>anotar, asentar, registrar</w:t>
      </w:r>
      <w:r w:rsidR="00791958" w:rsidRPr="007F40A9">
        <w:rPr>
          <w:i/>
          <w:sz w:val="24"/>
          <w:szCs w:val="24"/>
        </w:rPr>
        <w:t>, apuntar, con</w:t>
      </w:r>
      <w:r w:rsidR="005E0250" w:rsidRPr="007F40A9">
        <w:rPr>
          <w:i/>
          <w:sz w:val="24"/>
          <w:szCs w:val="24"/>
        </w:rPr>
        <w:t>signar, matricular</w:t>
      </w:r>
      <w:r w:rsidR="00791958" w:rsidRPr="007F40A9">
        <w:rPr>
          <w:i/>
          <w:sz w:val="24"/>
          <w:szCs w:val="24"/>
        </w:rPr>
        <w:t>,</w:t>
      </w:r>
      <w:r w:rsidR="005E0250" w:rsidRPr="007F40A9">
        <w:rPr>
          <w:i/>
          <w:sz w:val="24"/>
          <w:szCs w:val="24"/>
        </w:rPr>
        <w:t xml:space="preserve"> empadronar</w:t>
      </w:r>
      <w:r w:rsidR="00791958" w:rsidRPr="007F40A9">
        <w:rPr>
          <w:i/>
          <w:sz w:val="24"/>
          <w:szCs w:val="24"/>
        </w:rPr>
        <w:t>,</w:t>
      </w:r>
      <w:r w:rsidR="005E0250" w:rsidRPr="007F40A9">
        <w:rPr>
          <w:i/>
          <w:sz w:val="24"/>
          <w:szCs w:val="24"/>
        </w:rPr>
        <w:t xml:space="preserve"> etc</w:t>
      </w:r>
      <w:r w:rsidR="0072472E" w:rsidRPr="007F40A9">
        <w:rPr>
          <w:i/>
          <w:sz w:val="24"/>
          <w:szCs w:val="24"/>
        </w:rPr>
        <w:t xml:space="preserve">. </w:t>
      </w:r>
      <w:r w:rsidR="0072472E" w:rsidRPr="007F40A9">
        <w:rPr>
          <w:rFonts w:ascii="Times New Roman" w:hAnsi="Times New Roman" w:cs="Times New Roman"/>
          <w:sz w:val="24"/>
          <w:szCs w:val="24"/>
          <w:lang w:val="es-ES"/>
        </w:rPr>
        <w:t xml:space="preserve"> </w:t>
      </w:r>
      <w:r w:rsidR="0072472E" w:rsidRPr="007F40A9">
        <w:rPr>
          <w:rFonts w:cs="Times New Roman"/>
          <w:sz w:val="24"/>
          <w:szCs w:val="24"/>
          <w:lang w:val="es-ES"/>
        </w:rPr>
        <w:t xml:space="preserve">La VI Reunión Nacional de Directores de Registros de la Propiedad, celebrada en Mendoza en 1969, en su recomendación N° 3 dijo que "por inscripción debe entenderse a toda toma de razón (o asiento principal) de carácter definitivo, provisional o condicional que se practique en la matrícula como consecuencia de la presentación de un documento público dispositivo. </w:t>
      </w:r>
      <w:r w:rsidR="005E0250" w:rsidRPr="007F40A9">
        <w:rPr>
          <w:i/>
          <w:sz w:val="24"/>
          <w:szCs w:val="24"/>
        </w:rPr>
        <w:t xml:space="preserve"> </w:t>
      </w:r>
      <w:proofErr w:type="gramStart"/>
      <w:r w:rsidR="005E0250" w:rsidRPr="007F40A9">
        <w:rPr>
          <w:sz w:val="24"/>
          <w:szCs w:val="24"/>
        </w:rPr>
        <w:t>Y ”</w:t>
      </w:r>
      <w:proofErr w:type="gramEnd"/>
      <w:r w:rsidR="005E0250" w:rsidRPr="007F40A9">
        <w:rPr>
          <w:b/>
          <w:sz w:val="24"/>
          <w:szCs w:val="24"/>
        </w:rPr>
        <w:t>escriturar</w:t>
      </w:r>
      <w:r w:rsidR="005E0250" w:rsidRPr="007F40A9">
        <w:rPr>
          <w:sz w:val="24"/>
          <w:szCs w:val="24"/>
        </w:rPr>
        <w:t>”</w:t>
      </w:r>
      <w:r w:rsidR="0019771A" w:rsidRPr="00AD203A">
        <w:rPr>
          <w:i/>
          <w:sz w:val="24"/>
          <w:szCs w:val="24"/>
        </w:rPr>
        <w:t>: acción de labrar, confeccionar, autorizar formalizar un documento llamado escritura pública</w:t>
      </w:r>
      <w:r w:rsidR="0019771A" w:rsidRPr="007F40A9">
        <w:rPr>
          <w:sz w:val="24"/>
          <w:szCs w:val="24"/>
        </w:rPr>
        <w:t xml:space="preserve">. </w:t>
      </w:r>
      <w:r w:rsidR="00E16F27">
        <w:rPr>
          <w:sz w:val="24"/>
          <w:szCs w:val="24"/>
        </w:rPr>
        <w:t xml:space="preserve">“Dejar constancia en </w:t>
      </w:r>
      <w:r w:rsidR="00E16F27">
        <w:rPr>
          <w:i/>
          <w:sz w:val="24"/>
          <w:szCs w:val="24"/>
        </w:rPr>
        <w:t xml:space="preserve">escritura pública” </w:t>
      </w:r>
      <w:r w:rsidR="00E16F27">
        <w:rPr>
          <w:sz w:val="24"/>
          <w:szCs w:val="24"/>
        </w:rPr>
        <w:t xml:space="preserve">ante notario o escribano de un acto jurídico”. (Manuel </w:t>
      </w:r>
      <w:proofErr w:type="spellStart"/>
      <w:r w:rsidR="00E16F27">
        <w:rPr>
          <w:sz w:val="24"/>
          <w:szCs w:val="24"/>
        </w:rPr>
        <w:t>Ossorio</w:t>
      </w:r>
      <w:proofErr w:type="spellEnd"/>
      <w:r w:rsidR="00E16F27">
        <w:rPr>
          <w:sz w:val="24"/>
          <w:szCs w:val="24"/>
        </w:rPr>
        <w:t xml:space="preserve">-Diccionario de Ciencias Jurídicas y Sociales”. 28 edición actualizada. Editorial </w:t>
      </w:r>
      <w:proofErr w:type="spellStart"/>
      <w:r w:rsidR="00E16F27">
        <w:rPr>
          <w:sz w:val="24"/>
          <w:szCs w:val="24"/>
        </w:rPr>
        <w:t>heliasta</w:t>
      </w:r>
      <w:proofErr w:type="spellEnd"/>
      <w:r w:rsidR="00E16F27">
        <w:rPr>
          <w:sz w:val="24"/>
          <w:szCs w:val="24"/>
        </w:rPr>
        <w:t>. Bs As. 2001, página 397).</w:t>
      </w:r>
      <w:r w:rsidR="00A47D21">
        <w:rPr>
          <w:sz w:val="24"/>
          <w:szCs w:val="24"/>
        </w:rPr>
        <w:t xml:space="preserve"> </w:t>
      </w:r>
      <w:r w:rsidR="0019771A" w:rsidRPr="007F40A9">
        <w:rPr>
          <w:sz w:val="24"/>
          <w:szCs w:val="24"/>
        </w:rPr>
        <w:t>S</w:t>
      </w:r>
      <w:r w:rsidR="005E0250" w:rsidRPr="007F40A9">
        <w:rPr>
          <w:sz w:val="24"/>
          <w:szCs w:val="24"/>
        </w:rPr>
        <w:t xml:space="preserve">e refiere a la forma documental del acto o negocio jurídico realizado y concretamente a la autenticidad de su existencia, y de su fecha (artículos 994, 995 y 1010 del Código Civil). </w:t>
      </w:r>
      <w:r w:rsidR="007F40A9" w:rsidRPr="007F40A9">
        <w:rPr>
          <w:sz w:val="24"/>
          <w:szCs w:val="24"/>
        </w:rPr>
        <w:t>Escriturar</w:t>
      </w:r>
      <w:r w:rsidR="00536F95" w:rsidRPr="007F40A9">
        <w:rPr>
          <w:sz w:val="24"/>
          <w:szCs w:val="24"/>
        </w:rPr>
        <w:t xml:space="preserve"> un</w:t>
      </w:r>
      <w:r w:rsidR="00B97F29" w:rsidRPr="007F40A9">
        <w:rPr>
          <w:sz w:val="24"/>
          <w:szCs w:val="24"/>
        </w:rPr>
        <w:t xml:space="preserve"> </w:t>
      </w:r>
      <w:r w:rsidR="00536F95" w:rsidRPr="007F40A9">
        <w:rPr>
          <w:sz w:val="24"/>
          <w:szCs w:val="24"/>
        </w:rPr>
        <w:t xml:space="preserve">documento o pasarlo en </w:t>
      </w:r>
      <w:r w:rsidR="00B97F29" w:rsidRPr="007F40A9">
        <w:rPr>
          <w:sz w:val="24"/>
          <w:szCs w:val="24"/>
        </w:rPr>
        <w:t>escritura es una actividad propia del escribano</w:t>
      </w:r>
      <w:r w:rsidR="00AD203A">
        <w:rPr>
          <w:sz w:val="24"/>
          <w:szCs w:val="24"/>
        </w:rPr>
        <w:t xml:space="preserve"> o notario</w:t>
      </w:r>
      <w:r w:rsidR="00B97F29" w:rsidRPr="007F40A9">
        <w:rPr>
          <w:sz w:val="24"/>
          <w:szCs w:val="24"/>
        </w:rPr>
        <w:t>, e</w:t>
      </w:r>
      <w:r w:rsidR="005E0250" w:rsidRPr="007F40A9">
        <w:rPr>
          <w:sz w:val="24"/>
          <w:szCs w:val="24"/>
        </w:rPr>
        <w:t xml:space="preserve">n cambio, “inscribir” </w:t>
      </w:r>
      <w:r w:rsidR="00B97F29" w:rsidRPr="007F40A9">
        <w:rPr>
          <w:sz w:val="24"/>
          <w:szCs w:val="24"/>
        </w:rPr>
        <w:t xml:space="preserve">un documento </w:t>
      </w:r>
      <w:r w:rsidR="005E0250" w:rsidRPr="007F40A9">
        <w:rPr>
          <w:sz w:val="24"/>
          <w:szCs w:val="24"/>
        </w:rPr>
        <w:t xml:space="preserve">equivale a </w:t>
      </w:r>
      <w:r w:rsidR="00536F95" w:rsidRPr="007F40A9">
        <w:rPr>
          <w:sz w:val="24"/>
          <w:szCs w:val="24"/>
        </w:rPr>
        <w:t xml:space="preserve">anotarlo para </w:t>
      </w:r>
      <w:r w:rsidR="005E0250" w:rsidRPr="007F40A9">
        <w:rPr>
          <w:sz w:val="24"/>
          <w:szCs w:val="24"/>
        </w:rPr>
        <w:t>dar publicidad,</w:t>
      </w:r>
      <w:r w:rsidR="00B97F29" w:rsidRPr="007F40A9">
        <w:rPr>
          <w:sz w:val="24"/>
          <w:szCs w:val="24"/>
        </w:rPr>
        <w:t xml:space="preserve"> fu</w:t>
      </w:r>
      <w:r w:rsidR="004D5E0F" w:rsidRPr="007F40A9">
        <w:rPr>
          <w:sz w:val="24"/>
          <w:szCs w:val="24"/>
        </w:rPr>
        <w:t>n</w:t>
      </w:r>
      <w:r w:rsidR="00B97F29" w:rsidRPr="007F40A9">
        <w:rPr>
          <w:sz w:val="24"/>
          <w:szCs w:val="24"/>
        </w:rPr>
        <w:t>ción propia del registrador de la propiedad,</w:t>
      </w:r>
      <w:r w:rsidRPr="007F40A9">
        <w:rPr>
          <w:sz w:val="24"/>
          <w:szCs w:val="24"/>
        </w:rPr>
        <w:t xml:space="preserve"> conforme con </w:t>
      </w:r>
      <w:r w:rsidR="004D5E0F" w:rsidRPr="007F40A9">
        <w:rPr>
          <w:sz w:val="24"/>
          <w:szCs w:val="24"/>
        </w:rPr>
        <w:t>lo expresado,</w:t>
      </w:r>
      <w:r w:rsidRPr="007F40A9">
        <w:rPr>
          <w:sz w:val="24"/>
          <w:szCs w:val="24"/>
        </w:rPr>
        <w:t xml:space="preserve"> este Registro no utiliza como sinónimos las voces </w:t>
      </w:r>
      <w:r w:rsidRPr="00AD203A">
        <w:rPr>
          <w:b/>
          <w:sz w:val="24"/>
          <w:szCs w:val="24"/>
        </w:rPr>
        <w:t>“inscribir” y “escritura</w:t>
      </w:r>
      <w:r w:rsidR="004D5E0F" w:rsidRPr="00AD203A">
        <w:rPr>
          <w:b/>
          <w:sz w:val="24"/>
          <w:szCs w:val="24"/>
        </w:rPr>
        <w:t>r</w:t>
      </w:r>
      <w:r w:rsidRPr="00AD203A">
        <w:rPr>
          <w:b/>
          <w:sz w:val="24"/>
          <w:szCs w:val="24"/>
        </w:rPr>
        <w:t>”</w:t>
      </w:r>
      <w:r w:rsidR="004D5E0F" w:rsidRPr="00AD203A">
        <w:rPr>
          <w:b/>
          <w:sz w:val="24"/>
          <w:szCs w:val="24"/>
        </w:rPr>
        <w:t>.</w:t>
      </w:r>
    </w:p>
    <w:p w:rsidR="005A36F8" w:rsidRPr="007F40A9" w:rsidRDefault="005A36F8" w:rsidP="009F519E">
      <w:pPr>
        <w:jc w:val="both"/>
        <w:rPr>
          <w:sz w:val="24"/>
          <w:szCs w:val="24"/>
        </w:rPr>
      </w:pPr>
      <w:r w:rsidRPr="007F40A9">
        <w:rPr>
          <w:sz w:val="24"/>
          <w:szCs w:val="24"/>
        </w:rPr>
        <w:tab/>
      </w:r>
      <w:r w:rsidRPr="007F40A9">
        <w:rPr>
          <w:sz w:val="24"/>
          <w:szCs w:val="24"/>
        </w:rPr>
        <w:tab/>
        <w:t>Qu</w:t>
      </w:r>
      <w:r w:rsidR="001B28DF" w:rsidRPr="007F40A9">
        <w:rPr>
          <w:sz w:val="24"/>
          <w:szCs w:val="24"/>
        </w:rPr>
        <w:t>e en tal sentido el artículo 4</w:t>
      </w:r>
      <w:r w:rsidRPr="007F40A9">
        <w:rPr>
          <w:sz w:val="24"/>
          <w:szCs w:val="24"/>
        </w:rPr>
        <w:t xml:space="preserve"> de la ley </w:t>
      </w:r>
      <w:r w:rsidR="006F2B08" w:rsidRPr="007F40A9">
        <w:rPr>
          <w:sz w:val="24"/>
          <w:szCs w:val="24"/>
        </w:rPr>
        <w:t xml:space="preserve">provincial </w:t>
      </w:r>
      <w:r w:rsidR="00640B96" w:rsidRPr="007F40A9">
        <w:rPr>
          <w:sz w:val="24"/>
          <w:szCs w:val="24"/>
        </w:rPr>
        <w:t xml:space="preserve">7377, </w:t>
      </w:r>
      <w:r w:rsidRPr="007F40A9">
        <w:rPr>
          <w:sz w:val="24"/>
          <w:szCs w:val="24"/>
        </w:rPr>
        <w:t>es claro y conciso</w:t>
      </w:r>
      <w:r w:rsidR="00F1645F" w:rsidRPr="007F40A9">
        <w:rPr>
          <w:sz w:val="24"/>
          <w:szCs w:val="24"/>
        </w:rPr>
        <w:t xml:space="preserve"> </w:t>
      </w:r>
      <w:r w:rsidR="008A3708">
        <w:rPr>
          <w:sz w:val="24"/>
          <w:szCs w:val="24"/>
        </w:rPr>
        <w:t xml:space="preserve">en la exigencia de la forma documental “escritura pública”, </w:t>
      </w:r>
      <w:r w:rsidR="00F1645F" w:rsidRPr="007F40A9">
        <w:rPr>
          <w:sz w:val="24"/>
          <w:szCs w:val="24"/>
        </w:rPr>
        <w:t>por lo qu</w:t>
      </w:r>
      <w:r w:rsidRPr="007F40A9">
        <w:rPr>
          <w:sz w:val="24"/>
          <w:szCs w:val="24"/>
        </w:rPr>
        <w:t xml:space="preserve">e la Dirección del Registro de la Propiedad Inmueble no puede modificar </w:t>
      </w:r>
      <w:r w:rsidR="00640B96" w:rsidRPr="007F40A9">
        <w:rPr>
          <w:sz w:val="24"/>
          <w:szCs w:val="24"/>
        </w:rPr>
        <w:t xml:space="preserve">ni forzar </w:t>
      </w:r>
      <w:r w:rsidRPr="007F40A9">
        <w:rPr>
          <w:sz w:val="24"/>
          <w:szCs w:val="24"/>
        </w:rPr>
        <w:t>la interpretación de la ley</w:t>
      </w:r>
      <w:r w:rsidR="00640B96" w:rsidRPr="007F40A9">
        <w:rPr>
          <w:sz w:val="24"/>
          <w:szCs w:val="24"/>
        </w:rPr>
        <w:t>.</w:t>
      </w:r>
    </w:p>
    <w:p w:rsidR="00640B96" w:rsidRPr="007F40A9" w:rsidRDefault="00640B96" w:rsidP="009F519E">
      <w:pPr>
        <w:jc w:val="both"/>
        <w:rPr>
          <w:sz w:val="24"/>
          <w:szCs w:val="24"/>
        </w:rPr>
      </w:pPr>
      <w:r w:rsidRPr="007F40A9">
        <w:rPr>
          <w:sz w:val="24"/>
          <w:szCs w:val="24"/>
        </w:rPr>
        <w:tab/>
      </w:r>
      <w:r w:rsidRPr="007F40A9">
        <w:rPr>
          <w:sz w:val="24"/>
          <w:szCs w:val="24"/>
        </w:rPr>
        <w:tab/>
        <w:t xml:space="preserve">Que en el caso de las matrículas </w:t>
      </w:r>
      <w:r w:rsidR="001B28DF" w:rsidRPr="007F40A9">
        <w:rPr>
          <w:sz w:val="24"/>
          <w:szCs w:val="24"/>
        </w:rPr>
        <w:t xml:space="preserve">del Departamento San Fernando, </w:t>
      </w:r>
      <w:r w:rsidRPr="007F40A9">
        <w:rPr>
          <w:sz w:val="24"/>
          <w:szCs w:val="24"/>
        </w:rPr>
        <w:t>citadas en el punto I) de la nota N° 1289, esta Dirección acepta el error</w:t>
      </w:r>
      <w:r w:rsidR="00F1645F" w:rsidRPr="007F40A9">
        <w:rPr>
          <w:color w:val="FF0000"/>
          <w:sz w:val="24"/>
          <w:szCs w:val="24"/>
        </w:rPr>
        <w:t xml:space="preserve">, </w:t>
      </w:r>
      <w:r w:rsidRPr="007F40A9">
        <w:rPr>
          <w:sz w:val="24"/>
          <w:szCs w:val="24"/>
        </w:rPr>
        <w:t>lo que no significa que se continúe persistiendo en el error señalado.</w:t>
      </w:r>
      <w:r w:rsidR="00F1645F" w:rsidRPr="007F40A9">
        <w:rPr>
          <w:sz w:val="24"/>
          <w:szCs w:val="24"/>
        </w:rPr>
        <w:t xml:space="preserve"> Y por otra parte destaca que en las mencionadas matrículas se han inscriptos oficios suscriptos por el Fiscal de Estado, ingresados </w:t>
      </w:r>
      <w:proofErr w:type="spellStart"/>
      <w:r w:rsidR="00F1645F" w:rsidRPr="007F40A9">
        <w:rPr>
          <w:sz w:val="24"/>
          <w:szCs w:val="24"/>
        </w:rPr>
        <w:t>ocn</w:t>
      </w:r>
      <w:proofErr w:type="spellEnd"/>
      <w:r w:rsidR="00F1645F" w:rsidRPr="007F40A9">
        <w:rPr>
          <w:sz w:val="24"/>
          <w:szCs w:val="24"/>
        </w:rPr>
        <w:t xml:space="preserve"> fechas 17/10/14, 17/11/14, y 25/6/14, fec</w:t>
      </w:r>
      <w:r w:rsidR="00DC4ED6" w:rsidRPr="007F40A9">
        <w:rPr>
          <w:sz w:val="24"/>
          <w:szCs w:val="24"/>
        </w:rPr>
        <w:t>ha en que esta Dirección se enco</w:t>
      </w:r>
      <w:r w:rsidR="00F1645F" w:rsidRPr="007F40A9">
        <w:rPr>
          <w:sz w:val="24"/>
          <w:szCs w:val="24"/>
        </w:rPr>
        <w:t>ntraba intervenida, razón por l</w:t>
      </w:r>
      <w:r w:rsidR="00DC4ED6" w:rsidRPr="007F40A9">
        <w:rPr>
          <w:sz w:val="24"/>
          <w:szCs w:val="24"/>
        </w:rPr>
        <w:t xml:space="preserve">a cual la inscripción errónea </w:t>
      </w:r>
      <w:r w:rsidR="00F1645F" w:rsidRPr="007F40A9">
        <w:rPr>
          <w:sz w:val="24"/>
          <w:szCs w:val="24"/>
        </w:rPr>
        <w:t xml:space="preserve"> se debe a </w:t>
      </w:r>
      <w:r w:rsidR="00DC4ED6" w:rsidRPr="007F40A9">
        <w:rPr>
          <w:sz w:val="24"/>
          <w:szCs w:val="24"/>
        </w:rPr>
        <w:t>que el Interventor hi</w:t>
      </w:r>
      <w:r w:rsidR="005D19F4" w:rsidRPr="007F40A9">
        <w:rPr>
          <w:sz w:val="24"/>
          <w:szCs w:val="24"/>
        </w:rPr>
        <w:t>zo caso omiso a los fundamentos vertidos en el Dictamen Nº 243 de Asesoría General de Gobierno</w:t>
      </w:r>
      <w:r w:rsidR="00DC4ED6" w:rsidRPr="007F40A9">
        <w:rPr>
          <w:sz w:val="24"/>
          <w:szCs w:val="24"/>
        </w:rPr>
        <w:t xml:space="preserve"> pese a haber lo solicitado</w:t>
      </w:r>
      <w:r w:rsidR="005D19F4" w:rsidRPr="007F40A9">
        <w:rPr>
          <w:sz w:val="24"/>
          <w:szCs w:val="24"/>
        </w:rPr>
        <w:t xml:space="preserve">. En resumen la intervención solicitó el Dictamen de la Asesoría General, y luego de obtenerlo no </w:t>
      </w:r>
      <w:r w:rsidR="00DC4ED6" w:rsidRPr="007F40A9">
        <w:rPr>
          <w:sz w:val="24"/>
          <w:szCs w:val="24"/>
        </w:rPr>
        <w:t xml:space="preserve">sólo no </w:t>
      </w:r>
      <w:r w:rsidR="005D19F4" w:rsidRPr="007F40A9">
        <w:rPr>
          <w:sz w:val="24"/>
          <w:szCs w:val="24"/>
        </w:rPr>
        <w:t>lo acató</w:t>
      </w:r>
      <w:r w:rsidR="00DC4ED6" w:rsidRPr="007F40A9">
        <w:rPr>
          <w:sz w:val="24"/>
          <w:szCs w:val="24"/>
        </w:rPr>
        <w:t xml:space="preserve"> sino que se apartó del mismo sin expresar fundamento jurídico alguno</w:t>
      </w:r>
      <w:r w:rsidR="005D19F4" w:rsidRPr="007F40A9">
        <w:rPr>
          <w:sz w:val="24"/>
          <w:szCs w:val="24"/>
        </w:rPr>
        <w:t>.</w:t>
      </w:r>
    </w:p>
    <w:p w:rsidR="00640B96" w:rsidRPr="007F40A9" w:rsidRDefault="00640B96" w:rsidP="009F519E">
      <w:pPr>
        <w:jc w:val="both"/>
        <w:rPr>
          <w:sz w:val="24"/>
          <w:szCs w:val="24"/>
        </w:rPr>
      </w:pPr>
      <w:r w:rsidRPr="007F40A9">
        <w:rPr>
          <w:sz w:val="24"/>
          <w:szCs w:val="24"/>
        </w:rPr>
        <w:lastRenderedPageBreak/>
        <w:tab/>
      </w:r>
      <w:r w:rsidRPr="007F40A9">
        <w:rPr>
          <w:sz w:val="24"/>
          <w:szCs w:val="24"/>
        </w:rPr>
        <w:tab/>
        <w:t xml:space="preserve">Que esta Dirección comparte los fundamentos jurídicos </w:t>
      </w:r>
      <w:r w:rsidR="001E3AA3" w:rsidRPr="007F40A9">
        <w:rPr>
          <w:sz w:val="24"/>
          <w:szCs w:val="24"/>
        </w:rPr>
        <w:t xml:space="preserve">del Dictamen N° 243 de fecha 8 de mayo </w:t>
      </w:r>
      <w:r w:rsidR="00404DBB" w:rsidRPr="007F40A9">
        <w:rPr>
          <w:sz w:val="24"/>
          <w:szCs w:val="24"/>
        </w:rPr>
        <w:t xml:space="preserve">del año 2014, </w:t>
      </w:r>
      <w:r w:rsidRPr="007F40A9">
        <w:rPr>
          <w:sz w:val="24"/>
          <w:szCs w:val="24"/>
        </w:rPr>
        <w:t>del Asesor General de Gobierno por considerarlos ajustado</w:t>
      </w:r>
      <w:r w:rsidR="003F1EF5" w:rsidRPr="007F40A9">
        <w:rPr>
          <w:sz w:val="24"/>
          <w:szCs w:val="24"/>
        </w:rPr>
        <w:t>s a derecho en todas sus partes, y da por reproducido en este considerando su contenido por razones de brevedad.</w:t>
      </w:r>
    </w:p>
    <w:p w:rsidR="00640B96" w:rsidRPr="007F40A9" w:rsidRDefault="00C22BAB" w:rsidP="009F519E">
      <w:pPr>
        <w:jc w:val="both"/>
        <w:rPr>
          <w:sz w:val="24"/>
          <w:szCs w:val="24"/>
        </w:rPr>
      </w:pPr>
      <w:r w:rsidRPr="007F40A9">
        <w:rPr>
          <w:sz w:val="24"/>
          <w:szCs w:val="24"/>
        </w:rPr>
        <w:tab/>
      </w:r>
      <w:r w:rsidRPr="007F40A9">
        <w:rPr>
          <w:sz w:val="24"/>
          <w:szCs w:val="24"/>
        </w:rPr>
        <w:tab/>
        <w:t>Que esta Dirección disiente</w:t>
      </w:r>
      <w:r w:rsidR="00640B96" w:rsidRPr="007F40A9">
        <w:rPr>
          <w:sz w:val="24"/>
          <w:szCs w:val="24"/>
        </w:rPr>
        <w:t xml:space="preserve"> con la respuesta escueta y sin fundamentos jurídicos del Director General Toledo, </w:t>
      </w:r>
      <w:r w:rsidR="00DA6811" w:rsidRPr="007F40A9">
        <w:rPr>
          <w:sz w:val="24"/>
          <w:szCs w:val="24"/>
        </w:rPr>
        <w:t xml:space="preserve">de fecha 17 de julio del corriente, </w:t>
      </w:r>
      <w:r w:rsidR="00DC4ED6" w:rsidRPr="007F40A9">
        <w:rPr>
          <w:sz w:val="24"/>
          <w:szCs w:val="24"/>
        </w:rPr>
        <w:t xml:space="preserve">y reitera que adhiere a los fundamentos jurídicos del </w:t>
      </w:r>
      <w:r w:rsidR="00640B96" w:rsidRPr="007F40A9">
        <w:rPr>
          <w:sz w:val="24"/>
          <w:szCs w:val="24"/>
        </w:rPr>
        <w:t xml:space="preserve"> Dictamen N° 243 del Dr. Garrido.</w:t>
      </w:r>
    </w:p>
    <w:p w:rsidR="001E3AA3" w:rsidRPr="007F40A9" w:rsidRDefault="00C22BAB" w:rsidP="009F519E">
      <w:pPr>
        <w:jc w:val="both"/>
        <w:rPr>
          <w:sz w:val="24"/>
          <w:szCs w:val="24"/>
        </w:rPr>
      </w:pPr>
      <w:r w:rsidRPr="007F40A9">
        <w:rPr>
          <w:sz w:val="24"/>
          <w:szCs w:val="24"/>
        </w:rPr>
        <w:tab/>
      </w:r>
      <w:r w:rsidRPr="007F40A9">
        <w:rPr>
          <w:sz w:val="24"/>
          <w:szCs w:val="24"/>
        </w:rPr>
        <w:tab/>
        <w:t xml:space="preserve">Que esta Dirección considera correcta la calificación realizada por el registrador a los documentos ingresados, bajo N° de Mesa de Entradas, 43370, del 10/12/14, 41718, del 20/12/14; y 4297, 4298 del 17/3/15, </w:t>
      </w:r>
      <w:r w:rsidR="001E3AA3" w:rsidRPr="007F40A9">
        <w:rPr>
          <w:sz w:val="24"/>
          <w:szCs w:val="24"/>
        </w:rPr>
        <w:t xml:space="preserve">y resalta que dicha calificación encuentra su fundamento en el principio de legalidad, conforme al cual sólo pueden tener acceso al Registro de la Propiedad Inmueble los títulos que reúnan los requisitos de validez, establecidos por las leyes en este caso la ley </w:t>
      </w:r>
      <w:proofErr w:type="spellStart"/>
      <w:r w:rsidR="001E3AA3" w:rsidRPr="007F40A9">
        <w:rPr>
          <w:sz w:val="24"/>
          <w:szCs w:val="24"/>
        </w:rPr>
        <w:t>p`rovincial</w:t>
      </w:r>
      <w:proofErr w:type="spellEnd"/>
      <w:r w:rsidR="001E3AA3" w:rsidRPr="007F40A9">
        <w:rPr>
          <w:sz w:val="24"/>
          <w:szCs w:val="24"/>
        </w:rPr>
        <w:t xml:space="preserve"> 7377. </w:t>
      </w:r>
    </w:p>
    <w:p w:rsidR="00C22BAB" w:rsidRPr="007F40A9" w:rsidRDefault="001E3AA3" w:rsidP="009F519E">
      <w:pPr>
        <w:jc w:val="both"/>
        <w:rPr>
          <w:sz w:val="24"/>
          <w:szCs w:val="24"/>
        </w:rPr>
      </w:pPr>
      <w:r w:rsidRPr="007F40A9">
        <w:rPr>
          <w:sz w:val="24"/>
          <w:szCs w:val="24"/>
        </w:rPr>
        <w:tab/>
      </w:r>
      <w:r w:rsidRPr="007F40A9">
        <w:rPr>
          <w:sz w:val="24"/>
          <w:szCs w:val="24"/>
        </w:rPr>
        <w:tab/>
        <w:t xml:space="preserve">Que los </w:t>
      </w:r>
      <w:proofErr w:type="spellStart"/>
      <w:r w:rsidRPr="007F40A9">
        <w:rPr>
          <w:sz w:val="24"/>
          <w:szCs w:val="24"/>
        </w:rPr>
        <w:t>fundamnetos</w:t>
      </w:r>
      <w:proofErr w:type="spellEnd"/>
      <w:r w:rsidRPr="007F40A9">
        <w:rPr>
          <w:sz w:val="24"/>
          <w:szCs w:val="24"/>
        </w:rPr>
        <w:t xml:space="preserve"> del rechazo de los documentos que se señalan en el </w:t>
      </w:r>
      <w:proofErr w:type="spellStart"/>
      <w:r w:rsidRPr="007F40A9">
        <w:rPr>
          <w:sz w:val="24"/>
          <w:szCs w:val="24"/>
        </w:rPr>
        <w:t>párafo</w:t>
      </w:r>
      <w:proofErr w:type="spellEnd"/>
      <w:r w:rsidRPr="007F40A9">
        <w:rPr>
          <w:sz w:val="24"/>
          <w:szCs w:val="24"/>
        </w:rPr>
        <w:t xml:space="preserve"> anterior, se basan en lo dispuesto</w:t>
      </w:r>
      <w:r w:rsidR="00C22BAB" w:rsidRPr="007F40A9">
        <w:rPr>
          <w:sz w:val="24"/>
          <w:szCs w:val="24"/>
        </w:rPr>
        <w:t xml:space="preserve"> por los arts. 1184 inc. 1) y 8) del Código Civil, 3, de la ley 17801, y 4 de la ley provincial 7377.</w:t>
      </w:r>
    </w:p>
    <w:p w:rsidR="005C7CBF" w:rsidRPr="007F40A9" w:rsidRDefault="005C7CBF" w:rsidP="009F519E">
      <w:pPr>
        <w:jc w:val="both"/>
        <w:rPr>
          <w:sz w:val="24"/>
          <w:szCs w:val="24"/>
        </w:rPr>
      </w:pPr>
      <w:r w:rsidRPr="007F40A9">
        <w:rPr>
          <w:sz w:val="24"/>
          <w:szCs w:val="24"/>
        </w:rPr>
        <w:tab/>
      </w:r>
      <w:r w:rsidRPr="007F40A9">
        <w:rPr>
          <w:sz w:val="24"/>
          <w:szCs w:val="24"/>
        </w:rPr>
        <w:tab/>
        <w:t>Que conforme lo expuesto, y en uso de l</w:t>
      </w:r>
      <w:r w:rsidR="001E3AA3" w:rsidRPr="007F40A9">
        <w:rPr>
          <w:sz w:val="24"/>
          <w:szCs w:val="24"/>
        </w:rPr>
        <w:t xml:space="preserve">as atribuciones conferidas por </w:t>
      </w:r>
      <w:r w:rsidRPr="007F40A9">
        <w:rPr>
          <w:sz w:val="24"/>
          <w:szCs w:val="24"/>
        </w:rPr>
        <w:t>l</w:t>
      </w:r>
      <w:r w:rsidR="001E3AA3" w:rsidRPr="007F40A9">
        <w:rPr>
          <w:sz w:val="24"/>
          <w:szCs w:val="24"/>
        </w:rPr>
        <w:t>os</w:t>
      </w:r>
      <w:r w:rsidRPr="007F40A9">
        <w:rPr>
          <w:sz w:val="24"/>
          <w:szCs w:val="24"/>
        </w:rPr>
        <w:t xml:space="preserve"> </w:t>
      </w:r>
      <w:proofErr w:type="spellStart"/>
      <w:r w:rsidRPr="007F40A9">
        <w:rPr>
          <w:sz w:val="24"/>
          <w:szCs w:val="24"/>
        </w:rPr>
        <w:t>art</w:t>
      </w:r>
      <w:r w:rsidR="001E3AA3" w:rsidRPr="007F40A9">
        <w:rPr>
          <w:sz w:val="24"/>
          <w:szCs w:val="24"/>
        </w:rPr>
        <w:t>s</w:t>
      </w:r>
      <w:proofErr w:type="spellEnd"/>
      <w:r w:rsidRPr="007F40A9">
        <w:rPr>
          <w:sz w:val="24"/>
          <w:szCs w:val="24"/>
        </w:rPr>
        <w:t xml:space="preserve"> </w:t>
      </w:r>
      <w:r w:rsidR="001E3AA3" w:rsidRPr="007F40A9">
        <w:rPr>
          <w:sz w:val="24"/>
          <w:szCs w:val="24"/>
        </w:rPr>
        <w:t xml:space="preserve">35, </w:t>
      </w:r>
      <w:r w:rsidRPr="007F40A9">
        <w:rPr>
          <w:sz w:val="24"/>
          <w:szCs w:val="24"/>
        </w:rPr>
        <w:t>36</w:t>
      </w:r>
      <w:r w:rsidR="001E3AA3" w:rsidRPr="007F40A9">
        <w:rPr>
          <w:sz w:val="24"/>
          <w:szCs w:val="24"/>
        </w:rPr>
        <w:t xml:space="preserve"> inc. a), c) y </w:t>
      </w:r>
      <w:proofErr w:type="spellStart"/>
      <w:r w:rsidR="001E3AA3" w:rsidRPr="007F40A9">
        <w:rPr>
          <w:sz w:val="24"/>
          <w:szCs w:val="24"/>
        </w:rPr>
        <w:t>conc</w:t>
      </w:r>
      <w:proofErr w:type="spellEnd"/>
      <w:r w:rsidR="001E3AA3" w:rsidRPr="007F40A9">
        <w:rPr>
          <w:sz w:val="24"/>
          <w:szCs w:val="24"/>
        </w:rPr>
        <w:t>.</w:t>
      </w:r>
      <w:r w:rsidRPr="007F40A9">
        <w:rPr>
          <w:sz w:val="24"/>
          <w:szCs w:val="24"/>
        </w:rPr>
        <w:t xml:space="preserve"> </w:t>
      </w:r>
      <w:proofErr w:type="gramStart"/>
      <w:r w:rsidRPr="007F40A9">
        <w:rPr>
          <w:sz w:val="24"/>
          <w:szCs w:val="24"/>
        </w:rPr>
        <w:t>del</w:t>
      </w:r>
      <w:proofErr w:type="gramEnd"/>
      <w:r w:rsidRPr="007F40A9">
        <w:rPr>
          <w:sz w:val="24"/>
          <w:szCs w:val="24"/>
        </w:rPr>
        <w:t xml:space="preserve"> </w:t>
      </w:r>
      <w:proofErr w:type="spellStart"/>
      <w:r w:rsidRPr="007F40A9">
        <w:rPr>
          <w:sz w:val="24"/>
          <w:szCs w:val="24"/>
        </w:rPr>
        <w:t>Dto</w:t>
      </w:r>
      <w:proofErr w:type="spellEnd"/>
      <w:r w:rsidRPr="007F40A9">
        <w:rPr>
          <w:sz w:val="24"/>
          <w:szCs w:val="24"/>
        </w:rPr>
        <w:t xml:space="preserve"> 306/69</w:t>
      </w:r>
    </w:p>
    <w:p w:rsidR="005C7CBF" w:rsidRPr="007F40A9" w:rsidRDefault="005C7CBF" w:rsidP="005C7CBF">
      <w:pPr>
        <w:jc w:val="center"/>
        <w:rPr>
          <w:sz w:val="24"/>
          <w:szCs w:val="24"/>
        </w:rPr>
      </w:pPr>
      <w:r w:rsidRPr="007F40A9">
        <w:rPr>
          <w:sz w:val="24"/>
          <w:szCs w:val="24"/>
        </w:rPr>
        <w:t>LA DIRECTORA DEL REGISTRO DE LA PROPIEDAD INMUEBLE</w:t>
      </w:r>
    </w:p>
    <w:p w:rsidR="005C7CBF" w:rsidRPr="007F40A9" w:rsidRDefault="005C7CBF" w:rsidP="005C7CBF">
      <w:pPr>
        <w:jc w:val="center"/>
        <w:rPr>
          <w:sz w:val="24"/>
          <w:szCs w:val="24"/>
        </w:rPr>
      </w:pPr>
      <w:r w:rsidRPr="007F40A9">
        <w:rPr>
          <w:sz w:val="24"/>
          <w:szCs w:val="24"/>
        </w:rPr>
        <w:t>DISPONE</w:t>
      </w:r>
    </w:p>
    <w:p w:rsidR="005C7CBF" w:rsidRPr="007F40A9" w:rsidRDefault="00C22BAB" w:rsidP="00C22BAB">
      <w:pPr>
        <w:jc w:val="both"/>
        <w:rPr>
          <w:sz w:val="24"/>
          <w:szCs w:val="24"/>
        </w:rPr>
      </w:pPr>
      <w:r w:rsidRPr="007F40A9">
        <w:rPr>
          <w:sz w:val="24"/>
          <w:szCs w:val="24"/>
        </w:rPr>
        <w:t xml:space="preserve">ART.1: </w:t>
      </w:r>
      <w:r w:rsidR="005B4AC6" w:rsidRPr="007F40A9">
        <w:rPr>
          <w:sz w:val="24"/>
          <w:szCs w:val="24"/>
        </w:rPr>
        <w:t>RATIFIC</w:t>
      </w:r>
      <w:r w:rsidRPr="007F40A9">
        <w:rPr>
          <w:sz w:val="24"/>
          <w:szCs w:val="24"/>
        </w:rPr>
        <w:t>AR, la calificación del registrador respecto de los documentos ingresados bajo N° de Mesa de Entradas, 43370, del 10/12/14, 41718, del 20/12/14; y 4297, 4298 del 17/3/15.</w:t>
      </w:r>
    </w:p>
    <w:p w:rsidR="005B4AC6" w:rsidRPr="007F40A9" w:rsidRDefault="00C22BAB" w:rsidP="00C22BAB">
      <w:pPr>
        <w:jc w:val="both"/>
        <w:rPr>
          <w:sz w:val="24"/>
          <w:szCs w:val="24"/>
        </w:rPr>
      </w:pPr>
      <w:r w:rsidRPr="007F40A9">
        <w:rPr>
          <w:sz w:val="24"/>
          <w:szCs w:val="24"/>
        </w:rPr>
        <w:t xml:space="preserve">ART. 2: </w:t>
      </w:r>
      <w:r w:rsidR="005B4AC6" w:rsidRPr="007F40A9">
        <w:rPr>
          <w:sz w:val="24"/>
          <w:szCs w:val="24"/>
        </w:rPr>
        <w:t>CALIFICAR los documentos que se presenten para su inscripción en lo sucesivo, conforme con los fundamentos vertidos en los considerandos y en el dictamen N° 243 de fecha</w:t>
      </w:r>
      <w:r w:rsidR="000D074F" w:rsidRPr="007F40A9">
        <w:rPr>
          <w:sz w:val="24"/>
          <w:szCs w:val="24"/>
        </w:rPr>
        <w:t xml:space="preserve"> 08 d</w:t>
      </w:r>
      <w:r w:rsidR="005B4AC6" w:rsidRPr="007F40A9">
        <w:rPr>
          <w:sz w:val="24"/>
          <w:szCs w:val="24"/>
        </w:rPr>
        <w:t xml:space="preserve">e </w:t>
      </w:r>
      <w:r w:rsidR="000D074F" w:rsidRPr="007F40A9">
        <w:rPr>
          <w:sz w:val="24"/>
          <w:szCs w:val="24"/>
        </w:rPr>
        <w:t>Mayo del</w:t>
      </w:r>
      <w:r w:rsidR="007D31B0" w:rsidRPr="007F40A9">
        <w:rPr>
          <w:sz w:val="24"/>
          <w:szCs w:val="24"/>
        </w:rPr>
        <w:t xml:space="preserve"> </w:t>
      </w:r>
      <w:r w:rsidR="00E33F6F" w:rsidRPr="007F40A9">
        <w:rPr>
          <w:sz w:val="24"/>
          <w:szCs w:val="24"/>
        </w:rPr>
        <w:t xml:space="preserve">2014, </w:t>
      </w:r>
      <w:r w:rsidR="005B4AC6" w:rsidRPr="007F40A9">
        <w:rPr>
          <w:sz w:val="24"/>
          <w:szCs w:val="24"/>
        </w:rPr>
        <w:t>del Asesor General de Gobierno, que esta Dirección hace suyo</w:t>
      </w:r>
      <w:r w:rsidR="00E33F6F" w:rsidRPr="007F40A9">
        <w:rPr>
          <w:sz w:val="24"/>
          <w:szCs w:val="24"/>
        </w:rPr>
        <w:t xml:space="preserve"> y que incorpora como anexo a la presente </w:t>
      </w:r>
      <w:r w:rsidR="005B4AC6" w:rsidRPr="007F40A9">
        <w:rPr>
          <w:sz w:val="24"/>
          <w:szCs w:val="24"/>
        </w:rPr>
        <w:t>.</w:t>
      </w:r>
    </w:p>
    <w:p w:rsidR="00C22BAB" w:rsidRPr="007F40A9" w:rsidRDefault="005B4AC6" w:rsidP="00C22BAB">
      <w:pPr>
        <w:jc w:val="both"/>
        <w:rPr>
          <w:sz w:val="24"/>
          <w:szCs w:val="24"/>
        </w:rPr>
      </w:pPr>
      <w:r w:rsidRPr="007F40A9">
        <w:rPr>
          <w:sz w:val="24"/>
          <w:szCs w:val="24"/>
        </w:rPr>
        <w:t>ART. 3: NOTIFIQUESE</w:t>
      </w:r>
      <w:r w:rsidR="00C22BAB" w:rsidRPr="007F40A9">
        <w:rPr>
          <w:sz w:val="24"/>
          <w:szCs w:val="24"/>
        </w:rPr>
        <w:t>, regístrese.</w:t>
      </w:r>
    </w:p>
    <w:p w:rsidR="007D31B0" w:rsidRPr="007F40A9" w:rsidRDefault="007D31B0" w:rsidP="00C22BAB">
      <w:pPr>
        <w:jc w:val="both"/>
        <w:rPr>
          <w:sz w:val="24"/>
          <w:szCs w:val="24"/>
        </w:rPr>
      </w:pPr>
    </w:p>
    <w:p w:rsidR="006F2B08" w:rsidRPr="007F40A9" w:rsidRDefault="006F2B08" w:rsidP="00C22BAB">
      <w:pPr>
        <w:jc w:val="both"/>
        <w:rPr>
          <w:sz w:val="24"/>
          <w:szCs w:val="24"/>
        </w:rPr>
      </w:pPr>
    </w:p>
    <w:p w:rsidR="007D31B0" w:rsidRPr="007F40A9" w:rsidRDefault="000812D9" w:rsidP="00C22BAB">
      <w:pPr>
        <w:jc w:val="both"/>
        <w:rPr>
          <w:sz w:val="24"/>
          <w:szCs w:val="24"/>
          <w:u w:val="single"/>
        </w:rPr>
      </w:pPr>
      <w:r w:rsidRPr="007F40A9">
        <w:rPr>
          <w:sz w:val="24"/>
          <w:szCs w:val="24"/>
          <w:u w:val="single"/>
        </w:rPr>
        <w:t>DISPOSICION TECNICO REGISTRAL N°</w:t>
      </w:r>
      <w:r w:rsidR="007B0225" w:rsidRPr="007F40A9">
        <w:rPr>
          <w:sz w:val="24"/>
          <w:szCs w:val="24"/>
          <w:u w:val="single"/>
        </w:rPr>
        <w:t xml:space="preserve"> 43/2015</w:t>
      </w:r>
    </w:p>
    <w:sectPr w:rsidR="007D31B0" w:rsidRPr="007F40A9" w:rsidSect="001C727F">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drawingGridHorizontalSpacing w:val="110"/>
  <w:displayHorizontalDrawingGridEvery w:val="2"/>
  <w:characterSpacingControl w:val="doNotCompress"/>
  <w:compat/>
  <w:rsids>
    <w:rsidRoot w:val="009F519E"/>
    <w:rsid w:val="000812D9"/>
    <w:rsid w:val="000D074F"/>
    <w:rsid w:val="0019771A"/>
    <w:rsid w:val="001B28DF"/>
    <w:rsid w:val="001C727F"/>
    <w:rsid w:val="001E160D"/>
    <w:rsid w:val="001E3AA3"/>
    <w:rsid w:val="00216DD3"/>
    <w:rsid w:val="002C79F0"/>
    <w:rsid w:val="00381F96"/>
    <w:rsid w:val="003E73DF"/>
    <w:rsid w:val="003F1EF5"/>
    <w:rsid w:val="00404DBB"/>
    <w:rsid w:val="00420799"/>
    <w:rsid w:val="004D5E0F"/>
    <w:rsid w:val="00536F95"/>
    <w:rsid w:val="00540D81"/>
    <w:rsid w:val="005A36F8"/>
    <w:rsid w:val="005B4AC6"/>
    <w:rsid w:val="005C7CBF"/>
    <w:rsid w:val="005D19F4"/>
    <w:rsid w:val="005E0250"/>
    <w:rsid w:val="00640B96"/>
    <w:rsid w:val="00675EF3"/>
    <w:rsid w:val="006F2B08"/>
    <w:rsid w:val="0072472E"/>
    <w:rsid w:val="00783225"/>
    <w:rsid w:val="00791958"/>
    <w:rsid w:val="007A2B3D"/>
    <w:rsid w:val="007B0225"/>
    <w:rsid w:val="007D31B0"/>
    <w:rsid w:val="007F40A9"/>
    <w:rsid w:val="008A3708"/>
    <w:rsid w:val="00947580"/>
    <w:rsid w:val="009943BC"/>
    <w:rsid w:val="009F519E"/>
    <w:rsid w:val="00A47D21"/>
    <w:rsid w:val="00AD0718"/>
    <w:rsid w:val="00AD203A"/>
    <w:rsid w:val="00B62C22"/>
    <w:rsid w:val="00B97F29"/>
    <w:rsid w:val="00C22BAB"/>
    <w:rsid w:val="00D72C6C"/>
    <w:rsid w:val="00DA6811"/>
    <w:rsid w:val="00DC4ED6"/>
    <w:rsid w:val="00E16F27"/>
    <w:rsid w:val="00E33F6F"/>
    <w:rsid w:val="00E45102"/>
    <w:rsid w:val="00F164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DIEZ</cp:lastModifiedBy>
  <cp:revision>12</cp:revision>
  <cp:lastPrinted>2015-10-19T22:30:00Z</cp:lastPrinted>
  <dcterms:created xsi:type="dcterms:W3CDTF">2015-10-20T12:02:00Z</dcterms:created>
  <dcterms:modified xsi:type="dcterms:W3CDTF">2015-10-20T13:18:00Z</dcterms:modified>
</cp:coreProperties>
</file>