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57" w:rsidRDefault="00FC6DAE" w:rsidP="00FF5457">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58240">
            <v:imagedata r:id="rId6" o:title=""/>
            <w10:wrap type="topAndBottom"/>
          </v:shape>
          <o:OLEObject Type="Embed" ProgID="PBrush" ShapeID="_x0000_s1026" DrawAspect="Content" ObjectID="_1507440272" r:id="rId7"/>
        </w:pict>
      </w:r>
      <w:r w:rsidR="00FF5457">
        <w:t>PROVINCIA del CHACO</w:t>
      </w:r>
    </w:p>
    <w:p w:rsidR="00FF5457" w:rsidRDefault="00FF5457" w:rsidP="00FF5457">
      <w:pPr>
        <w:pStyle w:val="Ttulo6"/>
        <w:ind w:right="5958" w:hanging="551"/>
        <w:jc w:val="center"/>
      </w:pPr>
      <w:r>
        <w:t>Ministerio</w:t>
      </w:r>
      <w:r w:rsidR="00D477E3">
        <w:t xml:space="preserve"> de Gobierno, Justicia y Seguridad</w:t>
      </w:r>
    </w:p>
    <w:p w:rsidR="00FF5457" w:rsidRDefault="00FF5457" w:rsidP="00FF5457">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FF5457" w:rsidRDefault="00FF5457" w:rsidP="00FF5457">
      <w:pPr>
        <w:pStyle w:val="Ttulo1"/>
        <w:ind w:left="-709" w:right="5958" w:hanging="551"/>
        <w:jc w:val="center"/>
        <w:rPr>
          <w:rFonts w:ascii="Arial Black" w:hAnsi="Arial Black"/>
          <w:sz w:val="16"/>
        </w:rPr>
      </w:pPr>
      <w:r>
        <w:rPr>
          <w:rFonts w:ascii="Arial Black" w:hAnsi="Arial Black"/>
          <w:sz w:val="16"/>
        </w:rPr>
        <w:t>Av. Las Heras y Juan B. Justo</w:t>
      </w:r>
    </w:p>
    <w:p w:rsidR="00FF5457" w:rsidRDefault="00FF5457" w:rsidP="00FF5457">
      <w:pPr>
        <w:pStyle w:val="Ttulo1"/>
        <w:ind w:left="-709" w:right="5958" w:hanging="551"/>
        <w:jc w:val="center"/>
        <w:rPr>
          <w:rFonts w:ascii="Arial Black" w:hAnsi="Arial Black"/>
          <w:sz w:val="16"/>
        </w:rPr>
      </w:pPr>
      <w:r>
        <w:rPr>
          <w:rFonts w:ascii="Arial Black" w:hAnsi="Arial Black"/>
          <w:sz w:val="16"/>
        </w:rPr>
        <w:t>Resistencia – T.E.Nº03722–423266</w:t>
      </w:r>
    </w:p>
    <w:p w:rsidR="00FF5457" w:rsidRDefault="00FF5457" w:rsidP="00FF5457">
      <w:pPr>
        <w:ind w:right="51"/>
        <w:jc w:val="center"/>
        <w:rPr>
          <w:sz w:val="22"/>
          <w:szCs w:val="22"/>
        </w:rPr>
      </w:pPr>
    </w:p>
    <w:p w:rsidR="00FF5457" w:rsidRPr="000A3565" w:rsidRDefault="00FF5457" w:rsidP="00FF5457">
      <w:pPr>
        <w:ind w:right="51"/>
        <w:jc w:val="right"/>
        <w:rPr>
          <w:sz w:val="22"/>
          <w:szCs w:val="22"/>
        </w:rPr>
      </w:pPr>
      <w:r w:rsidRPr="000A3565">
        <w:rPr>
          <w:sz w:val="22"/>
          <w:szCs w:val="22"/>
        </w:rPr>
        <w:t>Resistencia,  02 de Enero de 2013.</w:t>
      </w:r>
    </w:p>
    <w:p w:rsidR="00FF5457" w:rsidRPr="000A3565" w:rsidRDefault="00FF5457" w:rsidP="00FF5457">
      <w:pPr>
        <w:ind w:right="51"/>
        <w:jc w:val="both"/>
        <w:rPr>
          <w:sz w:val="22"/>
          <w:szCs w:val="22"/>
        </w:rPr>
      </w:pPr>
    </w:p>
    <w:p w:rsidR="00FF5457" w:rsidRPr="000A3565" w:rsidRDefault="00FF5457" w:rsidP="00FF5457">
      <w:pPr>
        <w:jc w:val="both"/>
        <w:rPr>
          <w:b/>
          <w:bCs/>
          <w:sz w:val="22"/>
          <w:szCs w:val="22"/>
          <w:u w:val="single"/>
        </w:rPr>
      </w:pPr>
      <w:r w:rsidRPr="000A3565">
        <w:rPr>
          <w:rStyle w:val="cuerpo1"/>
          <w:rFonts w:ascii="Times New Roman" w:hAnsi="Times New Roman" w:cs="Times New Roman"/>
          <w:b/>
          <w:bCs/>
          <w:sz w:val="22"/>
          <w:szCs w:val="22"/>
          <w:u w:val="single"/>
        </w:rPr>
        <w:t>VISTO:</w:t>
      </w:r>
    </w:p>
    <w:p w:rsidR="00FF5457" w:rsidRPr="000A3565" w:rsidRDefault="00FF5457" w:rsidP="00FF5457">
      <w:pPr>
        <w:pStyle w:val="Sangradetextonormal"/>
        <w:ind w:firstLine="1980"/>
        <w:jc w:val="both"/>
        <w:rPr>
          <w:rStyle w:val="cuerpo1"/>
          <w:rFonts w:ascii="Times New Roman" w:hAnsi="Times New Roman" w:cs="Times New Roman"/>
          <w:color w:val="auto"/>
          <w:sz w:val="22"/>
          <w:szCs w:val="22"/>
        </w:rPr>
      </w:pPr>
      <w:r w:rsidRPr="000A3565">
        <w:rPr>
          <w:rStyle w:val="cuerpo1"/>
          <w:rFonts w:ascii="Times New Roman" w:hAnsi="Times New Roman" w:cs="Times New Roman"/>
          <w:sz w:val="22"/>
          <w:szCs w:val="22"/>
        </w:rPr>
        <w:t>Los asientos que se confeccionan en la columna c) de las matriculas, y se denominan “cancelaciones por caducidad”, encontrándose en el articulo 37 inciso a) o b) de la Ley Nacional Nº17.801; y</w:t>
      </w:r>
    </w:p>
    <w:p w:rsidR="00FF5457" w:rsidRPr="000A3565" w:rsidRDefault="00FF5457" w:rsidP="00FF5457">
      <w:pPr>
        <w:jc w:val="both"/>
        <w:rPr>
          <w:rStyle w:val="cuerpo1"/>
          <w:rFonts w:ascii="Times New Roman" w:hAnsi="Times New Roman" w:cs="Times New Roman"/>
          <w:b/>
          <w:bCs/>
          <w:sz w:val="22"/>
          <w:szCs w:val="22"/>
          <w:u w:val="single"/>
        </w:rPr>
      </w:pPr>
      <w:r w:rsidRPr="000A3565">
        <w:rPr>
          <w:rStyle w:val="cuerpo1"/>
          <w:rFonts w:ascii="Times New Roman" w:hAnsi="Times New Roman" w:cs="Times New Roman"/>
          <w:b/>
          <w:bCs/>
          <w:sz w:val="22"/>
          <w:szCs w:val="22"/>
          <w:u w:val="single"/>
        </w:rPr>
        <w:t>CONSIDERANDO:</w:t>
      </w:r>
    </w:p>
    <w:p w:rsidR="00FF5457" w:rsidRPr="000A3565" w:rsidRDefault="00FF5457" w:rsidP="00FF5457">
      <w:pPr>
        <w:ind w:firstLine="1980"/>
        <w:jc w:val="both"/>
        <w:rPr>
          <w:sz w:val="22"/>
          <w:szCs w:val="22"/>
        </w:rPr>
      </w:pPr>
      <w:r w:rsidRPr="000A3565">
        <w:rPr>
          <w:sz w:val="22"/>
          <w:szCs w:val="22"/>
        </w:rPr>
        <w:t>Que debemos distinguir, la cancelación (art. 36 Ley 17.801) de la caducidad (art. 37 inc. b) Ley 17.801);</w:t>
      </w:r>
    </w:p>
    <w:p w:rsidR="00FF5457" w:rsidRPr="000A3565" w:rsidRDefault="00FF5457" w:rsidP="00FF5457">
      <w:pPr>
        <w:ind w:firstLine="1985"/>
        <w:jc w:val="both"/>
        <w:rPr>
          <w:sz w:val="22"/>
          <w:szCs w:val="22"/>
        </w:rPr>
      </w:pPr>
      <w:r w:rsidRPr="000A3565">
        <w:rPr>
          <w:sz w:val="22"/>
          <w:szCs w:val="22"/>
        </w:rPr>
        <w:t xml:space="preserve">Que los asientos de </w:t>
      </w:r>
      <w:r w:rsidRPr="000A3565">
        <w:rPr>
          <w:i/>
          <w:sz w:val="22"/>
          <w:szCs w:val="22"/>
        </w:rPr>
        <w:t xml:space="preserve">cancelación </w:t>
      </w:r>
      <w:r w:rsidRPr="000A3565">
        <w:rPr>
          <w:sz w:val="22"/>
          <w:szCs w:val="22"/>
        </w:rPr>
        <w:t>son extintivos, es decir causan la pérdida de la situación registral de un derecho determinado;</w:t>
      </w:r>
    </w:p>
    <w:p w:rsidR="00FF5457" w:rsidRPr="000A3565" w:rsidRDefault="00FF5457" w:rsidP="00FF5457">
      <w:pPr>
        <w:ind w:firstLine="1985"/>
        <w:jc w:val="both"/>
        <w:rPr>
          <w:sz w:val="22"/>
          <w:szCs w:val="22"/>
        </w:rPr>
      </w:pPr>
      <w:r w:rsidRPr="000A3565">
        <w:rPr>
          <w:sz w:val="22"/>
          <w:szCs w:val="22"/>
        </w:rPr>
        <w:t>Que la cancelación de un asiento registral tiene lugar por:</w:t>
      </w:r>
    </w:p>
    <w:p w:rsidR="00FF5457" w:rsidRPr="000A3565" w:rsidRDefault="00FF5457" w:rsidP="00FF5457">
      <w:pPr>
        <w:pStyle w:val="Prrafodelista"/>
        <w:numPr>
          <w:ilvl w:val="0"/>
          <w:numId w:val="3"/>
        </w:numPr>
        <w:jc w:val="both"/>
        <w:rPr>
          <w:sz w:val="22"/>
          <w:szCs w:val="22"/>
        </w:rPr>
      </w:pPr>
      <w:r w:rsidRPr="000A3565">
        <w:rPr>
          <w:sz w:val="22"/>
          <w:szCs w:val="22"/>
        </w:rPr>
        <w:t>Presentación de solicitud, acompañada del documento en el que conste la extinción del derecho registrado.</w:t>
      </w:r>
    </w:p>
    <w:p w:rsidR="00FF5457" w:rsidRPr="000A3565" w:rsidRDefault="00FF5457" w:rsidP="00FF5457">
      <w:pPr>
        <w:pStyle w:val="Prrafodelista"/>
        <w:numPr>
          <w:ilvl w:val="0"/>
          <w:numId w:val="3"/>
        </w:numPr>
        <w:jc w:val="both"/>
        <w:rPr>
          <w:sz w:val="22"/>
          <w:szCs w:val="22"/>
        </w:rPr>
      </w:pPr>
      <w:r w:rsidRPr="000A3565">
        <w:rPr>
          <w:sz w:val="22"/>
          <w:szCs w:val="22"/>
        </w:rPr>
        <w:t>Presentación del documento en el que conste la extinción del derecho registrado.</w:t>
      </w:r>
    </w:p>
    <w:p w:rsidR="00FF5457" w:rsidRPr="000A3565" w:rsidRDefault="00FF5457" w:rsidP="00FF5457">
      <w:pPr>
        <w:pStyle w:val="Prrafodelista"/>
        <w:numPr>
          <w:ilvl w:val="0"/>
          <w:numId w:val="3"/>
        </w:numPr>
        <w:jc w:val="both"/>
        <w:rPr>
          <w:sz w:val="22"/>
          <w:szCs w:val="22"/>
        </w:rPr>
      </w:pPr>
      <w:r w:rsidRPr="000A3565">
        <w:rPr>
          <w:sz w:val="22"/>
          <w:szCs w:val="22"/>
        </w:rPr>
        <w:t>Inscripción del dominio o del derecho real inscripto a favor de otra persona.</w:t>
      </w:r>
    </w:p>
    <w:p w:rsidR="00FF5457" w:rsidRPr="000A3565" w:rsidRDefault="004E4E20" w:rsidP="00FF5457">
      <w:pPr>
        <w:pStyle w:val="Prrafodelista"/>
        <w:numPr>
          <w:ilvl w:val="0"/>
          <w:numId w:val="3"/>
        </w:numPr>
        <w:jc w:val="both"/>
        <w:rPr>
          <w:sz w:val="22"/>
          <w:szCs w:val="22"/>
        </w:rPr>
      </w:pPr>
      <w:r w:rsidRPr="000A3565">
        <w:rPr>
          <w:sz w:val="22"/>
          <w:szCs w:val="22"/>
        </w:rPr>
        <w:t>Confusión (art. 868 Código Civil).</w:t>
      </w:r>
    </w:p>
    <w:p w:rsidR="004E4E20" w:rsidRPr="000A3565" w:rsidRDefault="004E4E20" w:rsidP="00FF5457">
      <w:pPr>
        <w:pStyle w:val="Prrafodelista"/>
        <w:numPr>
          <w:ilvl w:val="0"/>
          <w:numId w:val="3"/>
        </w:numPr>
        <w:jc w:val="both"/>
        <w:rPr>
          <w:sz w:val="22"/>
          <w:szCs w:val="22"/>
        </w:rPr>
      </w:pPr>
      <w:r w:rsidRPr="000A3565">
        <w:rPr>
          <w:sz w:val="22"/>
          <w:szCs w:val="22"/>
        </w:rPr>
        <w:t>Sentencia Judicial.</w:t>
      </w:r>
    </w:p>
    <w:p w:rsidR="004E4E20" w:rsidRPr="000A3565" w:rsidRDefault="004E4E20" w:rsidP="00FF5457">
      <w:pPr>
        <w:pStyle w:val="Prrafodelista"/>
        <w:numPr>
          <w:ilvl w:val="0"/>
          <w:numId w:val="3"/>
        </w:numPr>
        <w:jc w:val="both"/>
        <w:rPr>
          <w:sz w:val="22"/>
          <w:szCs w:val="22"/>
        </w:rPr>
      </w:pPr>
      <w:r w:rsidRPr="000A3565">
        <w:rPr>
          <w:sz w:val="22"/>
          <w:szCs w:val="22"/>
        </w:rPr>
        <w:t>Disposición de la Ley.</w:t>
      </w:r>
    </w:p>
    <w:p w:rsidR="004E4E20" w:rsidRPr="000A3565" w:rsidRDefault="004E4E20" w:rsidP="004E4E20">
      <w:pPr>
        <w:ind w:firstLine="1950"/>
        <w:jc w:val="both"/>
        <w:rPr>
          <w:sz w:val="22"/>
          <w:szCs w:val="22"/>
        </w:rPr>
      </w:pPr>
      <w:r w:rsidRPr="000A3565">
        <w:rPr>
          <w:sz w:val="22"/>
          <w:szCs w:val="22"/>
        </w:rPr>
        <w:t xml:space="preserve">Que la </w:t>
      </w:r>
      <w:r w:rsidRPr="000A3565">
        <w:rPr>
          <w:i/>
          <w:sz w:val="22"/>
          <w:szCs w:val="22"/>
        </w:rPr>
        <w:t>caducidad</w:t>
      </w:r>
      <w:r w:rsidRPr="000A3565">
        <w:rPr>
          <w:sz w:val="22"/>
          <w:szCs w:val="22"/>
        </w:rPr>
        <w:t xml:space="preserve"> no genera necesariamente la extinción del derecho registrado, opera por una causal interna al Registro y por lo tanto no requiere de rogación, ni de actividad alguna del registrador, ni de asiento de cancelación;</w:t>
      </w:r>
    </w:p>
    <w:p w:rsidR="00FF5457" w:rsidRPr="000A3565" w:rsidRDefault="00FF5457" w:rsidP="00FF5457">
      <w:pPr>
        <w:ind w:firstLine="1985"/>
        <w:jc w:val="both"/>
        <w:rPr>
          <w:sz w:val="22"/>
          <w:szCs w:val="22"/>
        </w:rPr>
      </w:pPr>
      <w:r w:rsidRPr="000A3565">
        <w:rPr>
          <w:sz w:val="22"/>
          <w:szCs w:val="22"/>
        </w:rPr>
        <w:t>Que</w:t>
      </w:r>
      <w:r w:rsidR="004E4E20" w:rsidRPr="000A3565">
        <w:rPr>
          <w:sz w:val="22"/>
          <w:szCs w:val="22"/>
        </w:rPr>
        <w:t xml:space="preserve"> la caducidad opera de manera automática por disposición de la Ley, en consecuencia el asiento registral deja de surtir efectos y queda jurídicamente extinguido, aún cuando subsista su expresión material en la matrícula</w:t>
      </w:r>
      <w:r w:rsidRPr="000A3565">
        <w:rPr>
          <w:sz w:val="22"/>
          <w:szCs w:val="22"/>
        </w:rPr>
        <w:t>;</w:t>
      </w:r>
    </w:p>
    <w:p w:rsidR="004E4E20" w:rsidRPr="000A3565" w:rsidRDefault="00FF5457" w:rsidP="00FF5457">
      <w:pPr>
        <w:ind w:firstLine="1985"/>
        <w:jc w:val="both"/>
        <w:rPr>
          <w:sz w:val="22"/>
          <w:szCs w:val="22"/>
        </w:rPr>
      </w:pPr>
      <w:r w:rsidRPr="000A3565">
        <w:rPr>
          <w:sz w:val="22"/>
          <w:szCs w:val="22"/>
        </w:rPr>
        <w:t>Que</w:t>
      </w:r>
      <w:r w:rsidR="004E4E20" w:rsidRPr="000A3565">
        <w:rPr>
          <w:sz w:val="22"/>
          <w:szCs w:val="22"/>
        </w:rPr>
        <w:t xml:space="preserve"> al producirse la caducidad del asiento por vencimiento del plazo legal establecido en los incisos a) para hipotecas reguladas por el Código Civil y b) para todas las medidas cautelares del art. 37 de la Ley 17.801, es innecesario que el registrador confeccione un asiento en la columna c) de la matrícula, que lo cancele porque el mismo ya perdió vigencia por disposición de la Ley y no por el asiento que confecciona el registrador;</w:t>
      </w:r>
      <w:r w:rsidRPr="000A3565">
        <w:rPr>
          <w:sz w:val="22"/>
          <w:szCs w:val="22"/>
        </w:rPr>
        <w:t xml:space="preserve"> </w:t>
      </w:r>
    </w:p>
    <w:p w:rsidR="00FF5457" w:rsidRPr="00447872" w:rsidRDefault="004E4E20" w:rsidP="00447872">
      <w:pPr>
        <w:ind w:firstLine="1985"/>
        <w:jc w:val="both"/>
        <w:rPr>
          <w:rStyle w:val="cuerpo1"/>
          <w:rFonts w:ascii="Times New Roman" w:hAnsi="Times New Roman" w:cs="Times New Roman"/>
          <w:color w:val="auto"/>
          <w:sz w:val="22"/>
          <w:szCs w:val="22"/>
        </w:rPr>
      </w:pPr>
      <w:r w:rsidRPr="000A3565">
        <w:rPr>
          <w:sz w:val="22"/>
          <w:szCs w:val="22"/>
        </w:rPr>
        <w:t xml:space="preserve">Por ello, en uso de las atribuciones conferidas por el art. 36 inciso c) y f) del </w:t>
      </w:r>
      <w:r w:rsidR="00FF5457" w:rsidRPr="000A3565">
        <w:rPr>
          <w:sz w:val="22"/>
          <w:szCs w:val="22"/>
        </w:rPr>
        <w:t>Decreto Nº306/69;</w:t>
      </w:r>
    </w:p>
    <w:p w:rsidR="00FF5457" w:rsidRPr="000A3565" w:rsidRDefault="00FF5457" w:rsidP="00FF5457">
      <w:pPr>
        <w:jc w:val="center"/>
        <w:rPr>
          <w:sz w:val="22"/>
          <w:szCs w:val="22"/>
        </w:rPr>
      </w:pPr>
      <w:r w:rsidRPr="000A3565">
        <w:rPr>
          <w:rStyle w:val="cuerpo1"/>
          <w:rFonts w:ascii="Times New Roman" w:hAnsi="Times New Roman" w:cs="Times New Roman"/>
          <w:b/>
          <w:bCs/>
          <w:sz w:val="22"/>
          <w:szCs w:val="22"/>
        </w:rPr>
        <w:t>LA DIRECTORA DEL REGISTRO DE LA PROPIEDAD INMUEBLE</w:t>
      </w:r>
    </w:p>
    <w:p w:rsidR="00FF5457" w:rsidRPr="00447872" w:rsidRDefault="00FF5457" w:rsidP="00447872">
      <w:pPr>
        <w:pStyle w:val="Ttulo1"/>
        <w:ind w:firstLine="0"/>
        <w:jc w:val="center"/>
        <w:rPr>
          <w:color w:val="000000"/>
          <w:sz w:val="22"/>
          <w:szCs w:val="22"/>
          <w:u w:val="single"/>
        </w:rPr>
      </w:pPr>
      <w:r w:rsidRPr="000A3565">
        <w:rPr>
          <w:rStyle w:val="cuerpo1"/>
          <w:rFonts w:ascii="Times New Roman" w:hAnsi="Times New Roman" w:cs="Times New Roman"/>
          <w:b/>
          <w:bCs/>
          <w:sz w:val="22"/>
          <w:szCs w:val="22"/>
          <w:u w:val="single"/>
        </w:rPr>
        <w:t>D I S P O N E</w:t>
      </w:r>
    </w:p>
    <w:p w:rsidR="00FF5457" w:rsidRPr="000A3565" w:rsidRDefault="000A3565" w:rsidP="00FF5457">
      <w:pPr>
        <w:numPr>
          <w:ilvl w:val="0"/>
          <w:numId w:val="1"/>
        </w:numPr>
        <w:jc w:val="both"/>
        <w:rPr>
          <w:sz w:val="22"/>
          <w:szCs w:val="22"/>
        </w:rPr>
      </w:pPr>
      <w:r w:rsidRPr="000A3565">
        <w:rPr>
          <w:sz w:val="22"/>
          <w:szCs w:val="22"/>
        </w:rPr>
        <w:t>No confeccionar asientos de “CANCELACION POR CADUCIDAD” en la columna c) de las matrículas, a partir del primer día hábil del año 2013</w:t>
      </w:r>
      <w:r w:rsidR="00FF5457" w:rsidRPr="000A3565">
        <w:rPr>
          <w:sz w:val="22"/>
          <w:szCs w:val="22"/>
        </w:rPr>
        <w:t xml:space="preserve">, por las razones expuestas en los considerandos. </w:t>
      </w:r>
    </w:p>
    <w:p w:rsidR="00FF5457" w:rsidRPr="00447872" w:rsidRDefault="00FF5457" w:rsidP="00FF5457">
      <w:pPr>
        <w:numPr>
          <w:ilvl w:val="0"/>
          <w:numId w:val="1"/>
        </w:numPr>
        <w:jc w:val="both"/>
        <w:rPr>
          <w:sz w:val="22"/>
          <w:szCs w:val="22"/>
        </w:rPr>
      </w:pPr>
      <w:r w:rsidRPr="000A3565">
        <w:rPr>
          <w:sz w:val="22"/>
          <w:szCs w:val="22"/>
        </w:rPr>
        <w:t>Notifíquese, regístrese y hágase saber, cumplido, archívese.</w:t>
      </w:r>
    </w:p>
    <w:p w:rsidR="00FF5457" w:rsidRPr="000A3565" w:rsidRDefault="00FF5457" w:rsidP="00FF5457">
      <w:pPr>
        <w:pStyle w:val="Ttulo7"/>
        <w:rPr>
          <w:sz w:val="22"/>
          <w:szCs w:val="22"/>
        </w:rPr>
      </w:pPr>
      <w:r w:rsidRPr="000A3565">
        <w:rPr>
          <w:sz w:val="22"/>
          <w:szCs w:val="22"/>
        </w:rPr>
        <w:t>DI</w:t>
      </w:r>
      <w:r w:rsidR="000A3565" w:rsidRPr="000A3565">
        <w:rPr>
          <w:sz w:val="22"/>
          <w:szCs w:val="22"/>
        </w:rPr>
        <w:t>SPOSICIÓN TÉCNICA REGISTRAL Nº04</w:t>
      </w:r>
      <w:r w:rsidRPr="000A3565">
        <w:rPr>
          <w:sz w:val="22"/>
          <w:szCs w:val="22"/>
        </w:rPr>
        <w:t>/2013.-</w:t>
      </w:r>
    </w:p>
    <w:p w:rsidR="00447872" w:rsidRDefault="00447872" w:rsidP="00447872">
      <w:pPr>
        <w:ind w:left="3828"/>
        <w:jc w:val="center"/>
      </w:pPr>
      <w:r>
        <w:t>LILIA NOEMI DIEZ</w:t>
      </w:r>
    </w:p>
    <w:p w:rsidR="00447872" w:rsidRDefault="00447872" w:rsidP="00447872">
      <w:pPr>
        <w:ind w:left="3828"/>
        <w:jc w:val="center"/>
      </w:pPr>
      <w:r>
        <w:t>ABOGADA-ESCRIBANA</w:t>
      </w:r>
    </w:p>
    <w:p w:rsidR="00447872" w:rsidRDefault="00447872" w:rsidP="00447872">
      <w:pPr>
        <w:ind w:left="3828"/>
        <w:jc w:val="center"/>
      </w:pPr>
      <w:r>
        <w:t>DIRECTORA</w:t>
      </w:r>
    </w:p>
    <w:p w:rsidR="00447872" w:rsidRDefault="00447872" w:rsidP="00447872">
      <w:pPr>
        <w:ind w:left="3828"/>
        <w:jc w:val="center"/>
      </w:pPr>
      <w:r>
        <w:t>REGISTRO DE LA PROPIEDAD INMUEBLE</w:t>
      </w:r>
    </w:p>
    <w:p w:rsidR="00447872" w:rsidRDefault="00447872" w:rsidP="00447872">
      <w:pPr>
        <w:jc w:val="center"/>
      </w:pPr>
    </w:p>
    <w:p w:rsidR="00447872" w:rsidRDefault="00447872" w:rsidP="00447872">
      <w:pPr>
        <w:jc w:val="center"/>
      </w:pPr>
    </w:p>
    <w:p w:rsidR="00FF5457" w:rsidRPr="000A3565" w:rsidRDefault="00FF5457" w:rsidP="00FF5457">
      <w:pPr>
        <w:rPr>
          <w:sz w:val="22"/>
          <w:szCs w:val="22"/>
        </w:rPr>
      </w:pPr>
    </w:p>
    <w:p w:rsidR="00F44AC8" w:rsidRPr="000A3565" w:rsidRDefault="00F44AC8">
      <w:pPr>
        <w:rPr>
          <w:sz w:val="22"/>
          <w:szCs w:val="22"/>
        </w:rPr>
      </w:pPr>
    </w:p>
    <w:sectPr w:rsidR="00F44AC8" w:rsidRPr="000A3565"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53E"/>
    <w:multiLevelType w:val="hybridMultilevel"/>
    <w:tmpl w:val="F29E3AD2"/>
    <w:lvl w:ilvl="0" w:tplc="A824E6A0">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3FB084E"/>
    <w:multiLevelType w:val="hybridMultilevel"/>
    <w:tmpl w:val="5EF2FA62"/>
    <w:lvl w:ilvl="0" w:tplc="E96692BA">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
    <w:nsid w:val="35694A8D"/>
    <w:multiLevelType w:val="hybridMultilevel"/>
    <w:tmpl w:val="9F2E23C6"/>
    <w:lvl w:ilvl="0" w:tplc="747059F0">
      <w:start w:val="1"/>
      <w:numFmt w:val="decimal"/>
      <w:lvlText w:val="%1."/>
      <w:lvlJc w:val="left"/>
      <w:pPr>
        <w:ind w:left="2310" w:hanging="360"/>
      </w:pPr>
      <w:rPr>
        <w:rFonts w:hint="default"/>
      </w:rPr>
    </w:lvl>
    <w:lvl w:ilvl="1" w:tplc="0C0A0019" w:tentative="1">
      <w:start w:val="1"/>
      <w:numFmt w:val="lowerLetter"/>
      <w:lvlText w:val="%2."/>
      <w:lvlJc w:val="left"/>
      <w:pPr>
        <w:ind w:left="3030" w:hanging="360"/>
      </w:pPr>
    </w:lvl>
    <w:lvl w:ilvl="2" w:tplc="0C0A001B" w:tentative="1">
      <w:start w:val="1"/>
      <w:numFmt w:val="lowerRoman"/>
      <w:lvlText w:val="%3."/>
      <w:lvlJc w:val="right"/>
      <w:pPr>
        <w:ind w:left="3750" w:hanging="180"/>
      </w:pPr>
    </w:lvl>
    <w:lvl w:ilvl="3" w:tplc="0C0A000F" w:tentative="1">
      <w:start w:val="1"/>
      <w:numFmt w:val="decimal"/>
      <w:lvlText w:val="%4."/>
      <w:lvlJc w:val="left"/>
      <w:pPr>
        <w:ind w:left="4470" w:hanging="360"/>
      </w:pPr>
    </w:lvl>
    <w:lvl w:ilvl="4" w:tplc="0C0A0019" w:tentative="1">
      <w:start w:val="1"/>
      <w:numFmt w:val="lowerLetter"/>
      <w:lvlText w:val="%5."/>
      <w:lvlJc w:val="left"/>
      <w:pPr>
        <w:ind w:left="5190" w:hanging="360"/>
      </w:pPr>
    </w:lvl>
    <w:lvl w:ilvl="5" w:tplc="0C0A001B" w:tentative="1">
      <w:start w:val="1"/>
      <w:numFmt w:val="lowerRoman"/>
      <w:lvlText w:val="%6."/>
      <w:lvlJc w:val="right"/>
      <w:pPr>
        <w:ind w:left="5910" w:hanging="180"/>
      </w:pPr>
    </w:lvl>
    <w:lvl w:ilvl="6" w:tplc="0C0A000F" w:tentative="1">
      <w:start w:val="1"/>
      <w:numFmt w:val="decimal"/>
      <w:lvlText w:val="%7."/>
      <w:lvlJc w:val="left"/>
      <w:pPr>
        <w:ind w:left="6630" w:hanging="360"/>
      </w:pPr>
    </w:lvl>
    <w:lvl w:ilvl="7" w:tplc="0C0A0019" w:tentative="1">
      <w:start w:val="1"/>
      <w:numFmt w:val="lowerLetter"/>
      <w:lvlText w:val="%8."/>
      <w:lvlJc w:val="left"/>
      <w:pPr>
        <w:ind w:left="7350" w:hanging="360"/>
      </w:pPr>
    </w:lvl>
    <w:lvl w:ilvl="8" w:tplc="0C0A001B" w:tentative="1">
      <w:start w:val="1"/>
      <w:numFmt w:val="lowerRoman"/>
      <w:lvlText w:val="%9."/>
      <w:lvlJc w:val="right"/>
      <w:pPr>
        <w:ind w:left="80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F5457"/>
    <w:rsid w:val="000A3565"/>
    <w:rsid w:val="00363CFE"/>
    <w:rsid w:val="00447872"/>
    <w:rsid w:val="004E4E20"/>
    <w:rsid w:val="00D477E3"/>
    <w:rsid w:val="00E87EE4"/>
    <w:rsid w:val="00F44AC8"/>
    <w:rsid w:val="00FC6DAE"/>
    <w:rsid w:val="00FF54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57"/>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F5457"/>
    <w:pPr>
      <w:keepNext/>
      <w:ind w:firstLine="1985"/>
      <w:jc w:val="both"/>
      <w:outlineLvl w:val="0"/>
    </w:pPr>
    <w:rPr>
      <w:szCs w:val="20"/>
    </w:rPr>
  </w:style>
  <w:style w:type="paragraph" w:styleId="Ttulo4">
    <w:name w:val="heading 4"/>
    <w:basedOn w:val="Normal"/>
    <w:next w:val="Normal"/>
    <w:link w:val="Ttulo4Car"/>
    <w:semiHidden/>
    <w:unhideWhenUsed/>
    <w:qFormat/>
    <w:rsid w:val="00FF5457"/>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FF5457"/>
    <w:pPr>
      <w:keepNext/>
      <w:ind w:left="-709" w:firstLine="425"/>
      <w:outlineLvl w:val="5"/>
    </w:pPr>
    <w:rPr>
      <w:rFonts w:ascii="Arial" w:hAnsi="Arial"/>
      <w:b/>
      <w:i/>
      <w:sz w:val="20"/>
      <w:szCs w:val="20"/>
    </w:rPr>
  </w:style>
  <w:style w:type="paragraph" w:styleId="Ttulo7">
    <w:name w:val="heading 7"/>
    <w:basedOn w:val="Normal"/>
    <w:next w:val="Normal"/>
    <w:link w:val="Ttulo7Car"/>
    <w:semiHidden/>
    <w:unhideWhenUsed/>
    <w:qFormat/>
    <w:rsid w:val="00FF5457"/>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457"/>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semiHidden/>
    <w:rsid w:val="00FF5457"/>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FF5457"/>
    <w:rPr>
      <w:rFonts w:ascii="Arial" w:eastAsia="Times New Roman" w:hAnsi="Arial" w:cs="Times New Roman"/>
      <w:b/>
      <w:i/>
      <w:sz w:val="20"/>
      <w:szCs w:val="20"/>
      <w:lang w:eastAsia="es-ES"/>
    </w:rPr>
  </w:style>
  <w:style w:type="character" w:customStyle="1" w:styleId="Ttulo7Car">
    <w:name w:val="Título 7 Car"/>
    <w:basedOn w:val="Fuentedeprrafopredeter"/>
    <w:link w:val="Ttulo7"/>
    <w:semiHidden/>
    <w:rsid w:val="00FF5457"/>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semiHidden/>
    <w:unhideWhenUsed/>
    <w:rsid w:val="00FF5457"/>
    <w:pPr>
      <w:ind w:firstLine="900"/>
    </w:pPr>
  </w:style>
  <w:style w:type="character" w:customStyle="1" w:styleId="SangradetextonormalCar">
    <w:name w:val="Sangría de texto normal Car"/>
    <w:basedOn w:val="Fuentedeprrafopredeter"/>
    <w:link w:val="Sangradetextonormal"/>
    <w:semiHidden/>
    <w:rsid w:val="00FF5457"/>
    <w:rPr>
      <w:rFonts w:ascii="Times New Roman" w:eastAsia="Times New Roman" w:hAnsi="Times New Roman" w:cs="Times New Roman"/>
      <w:sz w:val="24"/>
      <w:szCs w:val="24"/>
      <w:lang w:eastAsia="es-ES"/>
    </w:rPr>
  </w:style>
  <w:style w:type="character" w:customStyle="1" w:styleId="cuerpo1">
    <w:name w:val="cuerpo1"/>
    <w:basedOn w:val="Fuentedeprrafopredeter"/>
    <w:rsid w:val="00FF5457"/>
    <w:rPr>
      <w:rFonts w:ascii="Arial" w:hAnsi="Arial" w:cs="Arial" w:hint="default"/>
      <w:b w:val="0"/>
      <w:bCs w:val="0"/>
      <w:i w:val="0"/>
      <w:iCs w:val="0"/>
      <w:color w:val="000000"/>
      <w:sz w:val="14"/>
      <w:szCs w:val="14"/>
    </w:rPr>
  </w:style>
  <w:style w:type="paragraph" w:styleId="Prrafodelista">
    <w:name w:val="List Paragraph"/>
    <w:basedOn w:val="Normal"/>
    <w:uiPriority w:val="34"/>
    <w:qFormat/>
    <w:rsid w:val="00FF5457"/>
    <w:pPr>
      <w:ind w:left="720"/>
      <w:contextualSpacing/>
    </w:pPr>
  </w:style>
</w:styles>
</file>

<file path=word/webSettings.xml><?xml version="1.0" encoding="utf-8"?>
<w:webSettings xmlns:r="http://schemas.openxmlformats.org/officeDocument/2006/relationships" xmlns:w="http://schemas.openxmlformats.org/wordprocessingml/2006/main">
  <w:divs>
    <w:div w:id="1447195139">
      <w:bodyDiv w:val="1"/>
      <w:marLeft w:val="0"/>
      <w:marRight w:val="0"/>
      <w:marTop w:val="0"/>
      <w:marBottom w:val="0"/>
      <w:divBdr>
        <w:top w:val="none" w:sz="0" w:space="0" w:color="auto"/>
        <w:left w:val="none" w:sz="0" w:space="0" w:color="auto"/>
        <w:bottom w:val="none" w:sz="0" w:space="0" w:color="auto"/>
        <w:right w:val="none" w:sz="0" w:space="0" w:color="auto"/>
      </w:divBdr>
    </w:div>
    <w:div w:id="20726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4571-8B5D-4C4F-848E-922432E3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2015-04-17T13:15:00Z</dcterms:created>
  <dcterms:modified xsi:type="dcterms:W3CDTF">2015-10-27T11:38:00Z</dcterms:modified>
</cp:coreProperties>
</file>