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AF" w:rsidRDefault="00EE524B" w:rsidP="008548AF">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456" r:id="rId6"/>
        </w:pict>
      </w:r>
      <w:r w:rsidR="008548AF">
        <w:t>PROVINCIA del CHACO</w:t>
      </w:r>
    </w:p>
    <w:p w:rsidR="008548AF" w:rsidRDefault="008548AF" w:rsidP="008548AF">
      <w:pPr>
        <w:pStyle w:val="Ttulo6"/>
        <w:ind w:right="5958" w:hanging="551"/>
        <w:jc w:val="center"/>
      </w:pPr>
      <w:r>
        <w:t>Ministerio</w:t>
      </w:r>
      <w:r w:rsidR="00FC2613">
        <w:t xml:space="preserve"> de Gobierno, Justicia y Seguridad</w:t>
      </w:r>
    </w:p>
    <w:p w:rsidR="008548AF" w:rsidRDefault="008548AF" w:rsidP="008548AF">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8548AF" w:rsidRDefault="008548AF" w:rsidP="008548AF">
      <w:pPr>
        <w:pStyle w:val="Ttulo1"/>
        <w:ind w:left="-709" w:right="5958" w:hanging="551"/>
        <w:jc w:val="center"/>
        <w:rPr>
          <w:rFonts w:ascii="Arial Black" w:hAnsi="Arial Black"/>
          <w:sz w:val="16"/>
        </w:rPr>
      </w:pPr>
      <w:r>
        <w:rPr>
          <w:rFonts w:ascii="Arial Black" w:hAnsi="Arial Black"/>
          <w:sz w:val="16"/>
        </w:rPr>
        <w:t>Av. Las Heras y Juan B. Justo</w:t>
      </w:r>
    </w:p>
    <w:p w:rsidR="008548AF" w:rsidRDefault="008548AF" w:rsidP="008548AF">
      <w:pPr>
        <w:pStyle w:val="Ttulo1"/>
        <w:ind w:left="-709" w:right="5958" w:hanging="551"/>
        <w:jc w:val="center"/>
        <w:rPr>
          <w:rFonts w:ascii="Arial Black" w:hAnsi="Arial Black"/>
          <w:sz w:val="16"/>
        </w:rPr>
      </w:pPr>
      <w:r>
        <w:rPr>
          <w:rFonts w:ascii="Arial Black" w:hAnsi="Arial Black"/>
          <w:sz w:val="16"/>
        </w:rPr>
        <w:t>Resistencia – T.E.Nº03722–423266</w:t>
      </w:r>
    </w:p>
    <w:p w:rsidR="008548AF" w:rsidRDefault="008548AF" w:rsidP="008548AF">
      <w:pPr>
        <w:ind w:right="51"/>
        <w:jc w:val="center"/>
        <w:rPr>
          <w:sz w:val="22"/>
          <w:szCs w:val="22"/>
        </w:rPr>
      </w:pPr>
      <w:r>
        <w:rPr>
          <w:i/>
          <w:iCs/>
          <w:sz w:val="22"/>
          <w:szCs w:val="22"/>
        </w:rPr>
        <w:t>2013 – 30 Años de la Recuperación de la Democracia.-</w:t>
      </w:r>
    </w:p>
    <w:p w:rsidR="008548AF" w:rsidRPr="008548AF" w:rsidRDefault="008548AF" w:rsidP="008548AF">
      <w:pPr>
        <w:ind w:right="51"/>
        <w:jc w:val="right"/>
      </w:pPr>
      <w:r w:rsidRPr="008548AF">
        <w:t>Resistencia,  01 de Julio de 2013.</w:t>
      </w:r>
    </w:p>
    <w:p w:rsidR="008548AF" w:rsidRPr="008548AF" w:rsidRDefault="008548AF" w:rsidP="008548AF">
      <w:pPr>
        <w:ind w:right="51"/>
        <w:jc w:val="both"/>
      </w:pPr>
    </w:p>
    <w:p w:rsidR="008548AF" w:rsidRPr="008548AF" w:rsidRDefault="008548AF" w:rsidP="008548AF">
      <w:pPr>
        <w:jc w:val="both"/>
        <w:rPr>
          <w:b/>
          <w:bCs/>
          <w:u w:val="single"/>
        </w:rPr>
      </w:pPr>
      <w:r w:rsidRPr="008548AF">
        <w:rPr>
          <w:rStyle w:val="cuerpo1"/>
          <w:rFonts w:ascii="Times New Roman" w:hAnsi="Times New Roman" w:cs="Times New Roman"/>
          <w:b/>
          <w:bCs/>
          <w:sz w:val="24"/>
          <w:szCs w:val="24"/>
          <w:u w:val="single"/>
        </w:rPr>
        <w:t>VISTO:</w:t>
      </w:r>
    </w:p>
    <w:p w:rsidR="008548AF" w:rsidRPr="008548AF" w:rsidRDefault="008548AF" w:rsidP="008548AF">
      <w:pPr>
        <w:pStyle w:val="Sangradetextonormal"/>
        <w:ind w:firstLine="1980"/>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Las medidas cautelares decretados sobre mayores superficies de inmuebles que se han subdividido</w:t>
      </w:r>
      <w:r w:rsidRPr="008548AF">
        <w:rPr>
          <w:rStyle w:val="cuerpo1"/>
          <w:rFonts w:ascii="Times New Roman" w:hAnsi="Times New Roman" w:cs="Times New Roman"/>
          <w:sz w:val="24"/>
          <w:szCs w:val="24"/>
        </w:rPr>
        <w:t>, y</w:t>
      </w:r>
    </w:p>
    <w:p w:rsidR="008548AF" w:rsidRPr="008548AF" w:rsidRDefault="008548AF" w:rsidP="008548AF">
      <w:pPr>
        <w:jc w:val="both"/>
        <w:rPr>
          <w:rStyle w:val="cuerpo1"/>
          <w:rFonts w:ascii="Times New Roman" w:hAnsi="Times New Roman" w:cs="Times New Roman"/>
          <w:b/>
          <w:bCs/>
          <w:sz w:val="24"/>
          <w:szCs w:val="24"/>
          <w:u w:val="single"/>
        </w:rPr>
      </w:pPr>
      <w:r w:rsidRPr="008548AF">
        <w:rPr>
          <w:rStyle w:val="cuerpo1"/>
          <w:rFonts w:ascii="Times New Roman" w:hAnsi="Times New Roman" w:cs="Times New Roman"/>
          <w:b/>
          <w:bCs/>
          <w:sz w:val="24"/>
          <w:szCs w:val="24"/>
          <w:u w:val="single"/>
        </w:rPr>
        <w:t>CONSIDERANDO:</w:t>
      </w:r>
    </w:p>
    <w:p w:rsidR="008548AF" w:rsidRPr="008548AF" w:rsidRDefault="008548AF" w:rsidP="008548AF">
      <w:pPr>
        <w:ind w:firstLine="1980"/>
        <w:jc w:val="both"/>
      </w:pPr>
      <w:r w:rsidRPr="008548AF">
        <w:t>Que</w:t>
      </w:r>
      <w:r>
        <w:t xml:space="preserve"> los inmuebles se subdividen, sea por el régimen de dominio común del Código Civil o por Ley 13.512 de propiedad horizontal;</w:t>
      </w:r>
    </w:p>
    <w:p w:rsidR="008548AF" w:rsidRPr="008548AF" w:rsidRDefault="008548AF" w:rsidP="008548AF">
      <w:pPr>
        <w:ind w:firstLine="1980"/>
        <w:jc w:val="both"/>
      </w:pPr>
      <w:r w:rsidRPr="008548AF">
        <w:t>Que</w:t>
      </w:r>
      <w:r>
        <w:t xml:space="preserve"> este Registro hasta la fecha ha dado curso a mandamientos de Embargo sobre un inmueble que ya no existe, registrando en forma provisional la medida afectando todos los inmuebles </w:t>
      </w:r>
      <w:r w:rsidR="00262C9B">
        <w:t>resultantes de la división, hasta tanto el Juez especifique cuál o cuáles de ellos deben quedar gravados;</w:t>
      </w:r>
      <w:r>
        <w:t xml:space="preserve"> </w:t>
      </w:r>
      <w:r w:rsidRPr="008548AF">
        <w:t xml:space="preserve"> </w:t>
      </w:r>
    </w:p>
    <w:p w:rsidR="00262C9B" w:rsidRDefault="008548AF" w:rsidP="008548AF">
      <w:pPr>
        <w:ind w:firstLine="1985"/>
        <w:jc w:val="both"/>
      </w:pPr>
      <w:r w:rsidRPr="008548AF">
        <w:t xml:space="preserve">Que </w:t>
      </w:r>
      <w:r w:rsidR="00262C9B">
        <w:t>el Registro ha caído en el exceso de trabar una medida cautelar ante la “posibilidad” de que llegue a estar afectado. Esta conducta no es acertada de acuerdo con las normas del derecho registral;</w:t>
      </w:r>
    </w:p>
    <w:p w:rsidR="008548AF" w:rsidRDefault="00262C9B" w:rsidP="008548AF">
      <w:pPr>
        <w:ind w:firstLine="1985"/>
        <w:jc w:val="both"/>
      </w:pPr>
      <w:r>
        <w:t>Además de incumplirse con el principio registral de especialidad contenido en el Art. 12 de la Ley 17.801, el que no tiene excepciones, se está presumiendo una intención judicial que puede no existir, como es gravar el inmueble con otra configuración física, o afectar inmuebles que no pretendió el magistrado;</w:t>
      </w:r>
    </w:p>
    <w:p w:rsidR="00262C9B" w:rsidRPr="008548AF" w:rsidRDefault="00262C9B" w:rsidP="008548AF">
      <w:pPr>
        <w:ind w:firstLine="1985"/>
        <w:jc w:val="both"/>
      </w:pPr>
      <w:r>
        <w:t>Que conforme lo dispuesto por la Ley 4.851, de Catastro, en el Art. 28 obliga al registrador a trabajar con el último plano aprobado, porque es éste el que rectifica un estado parcelario anterior, conforme lo expresa el citado artículo de la Ley provincial;</w:t>
      </w:r>
    </w:p>
    <w:p w:rsidR="008548AF" w:rsidRPr="008548AF" w:rsidRDefault="008548AF" w:rsidP="008548AF">
      <w:pPr>
        <w:ind w:firstLine="1985"/>
        <w:jc w:val="both"/>
      </w:pPr>
      <w:r w:rsidRPr="008548AF">
        <w:t>Que conforme al artículo 36 inciso c) y f) del Decreto Nº306/69;</w:t>
      </w:r>
    </w:p>
    <w:p w:rsidR="008548AF" w:rsidRPr="008548AF" w:rsidRDefault="008548AF" w:rsidP="008548AF">
      <w:pPr>
        <w:jc w:val="center"/>
        <w:rPr>
          <w:rStyle w:val="cuerpo1"/>
          <w:rFonts w:ascii="Times New Roman" w:hAnsi="Times New Roman" w:cs="Times New Roman"/>
          <w:b/>
          <w:bCs/>
          <w:sz w:val="24"/>
          <w:szCs w:val="24"/>
        </w:rPr>
      </w:pPr>
    </w:p>
    <w:p w:rsidR="008548AF" w:rsidRPr="008548AF" w:rsidRDefault="008548AF" w:rsidP="008548AF">
      <w:pPr>
        <w:jc w:val="center"/>
      </w:pPr>
      <w:r w:rsidRPr="008548AF">
        <w:rPr>
          <w:rStyle w:val="cuerpo1"/>
          <w:rFonts w:ascii="Times New Roman" w:hAnsi="Times New Roman" w:cs="Times New Roman"/>
          <w:b/>
          <w:bCs/>
          <w:sz w:val="24"/>
          <w:szCs w:val="24"/>
        </w:rPr>
        <w:t>LA DIRECTORA DEL REGISTRO DE LA PROPIEDAD INMUEBLE</w:t>
      </w:r>
    </w:p>
    <w:p w:rsidR="008548AF" w:rsidRPr="00262C9B" w:rsidRDefault="008548AF" w:rsidP="008548AF">
      <w:pPr>
        <w:pStyle w:val="Ttulo1"/>
        <w:ind w:firstLine="0"/>
        <w:jc w:val="center"/>
        <w:rPr>
          <w:rStyle w:val="cuerpo1"/>
          <w:rFonts w:ascii="Times New Roman" w:hAnsi="Times New Roman" w:cs="Times New Roman"/>
          <w:sz w:val="24"/>
          <w:szCs w:val="24"/>
          <w:u w:val="single"/>
        </w:rPr>
      </w:pPr>
      <w:r w:rsidRPr="00262C9B">
        <w:rPr>
          <w:rStyle w:val="cuerpo1"/>
          <w:rFonts w:ascii="Times New Roman" w:hAnsi="Times New Roman" w:cs="Times New Roman"/>
          <w:b/>
          <w:bCs/>
          <w:sz w:val="24"/>
          <w:szCs w:val="24"/>
          <w:u w:val="single"/>
        </w:rPr>
        <w:t>D I S P O N E</w:t>
      </w:r>
    </w:p>
    <w:p w:rsidR="008548AF" w:rsidRPr="008548AF" w:rsidRDefault="008548AF" w:rsidP="008548AF"/>
    <w:p w:rsidR="008548AF" w:rsidRPr="008548AF" w:rsidRDefault="00262C9B" w:rsidP="008548AF">
      <w:pPr>
        <w:numPr>
          <w:ilvl w:val="0"/>
          <w:numId w:val="1"/>
        </w:numPr>
        <w:jc w:val="both"/>
      </w:pPr>
      <w:r>
        <w:t xml:space="preserve">RECHAZAR los oficios judiciales que dispongan la traba de medidas cautelares sobre mayores superficies de inmuebles que ya se han subdividido, por las razones expuestas </w:t>
      </w:r>
      <w:r w:rsidR="00DB2EB2">
        <w:t>en los considerandos y solicitar al Juez que especifique el inmueble sobre el que recae la medida.</w:t>
      </w:r>
      <w:r>
        <w:t xml:space="preserve"> </w:t>
      </w:r>
    </w:p>
    <w:p w:rsidR="008548AF" w:rsidRPr="008548AF" w:rsidRDefault="008548AF" w:rsidP="008548AF">
      <w:pPr>
        <w:numPr>
          <w:ilvl w:val="0"/>
          <w:numId w:val="1"/>
        </w:numPr>
        <w:jc w:val="both"/>
      </w:pPr>
      <w:r w:rsidRPr="008548AF">
        <w:t>Notifíquese, regístrese y hágase saber, cumplido, archívese.</w:t>
      </w:r>
    </w:p>
    <w:p w:rsidR="008548AF" w:rsidRDefault="008548AF" w:rsidP="008548AF">
      <w:pPr>
        <w:jc w:val="both"/>
        <w:rPr>
          <w:sz w:val="22"/>
        </w:rPr>
      </w:pPr>
    </w:p>
    <w:p w:rsidR="008548AF" w:rsidRDefault="008548AF" w:rsidP="008548AF">
      <w:pPr>
        <w:pStyle w:val="Ttulo7"/>
        <w:rPr>
          <w:sz w:val="22"/>
        </w:rPr>
      </w:pPr>
      <w:r>
        <w:rPr>
          <w:sz w:val="22"/>
        </w:rPr>
        <w:t>DI</w:t>
      </w:r>
      <w:r w:rsidR="00DB2EB2">
        <w:rPr>
          <w:sz w:val="22"/>
        </w:rPr>
        <w:t>SPOSICIÓN TÉCNICA REGISTRAL Nº24/2013.-</w:t>
      </w:r>
    </w:p>
    <w:p w:rsidR="008548AF" w:rsidRDefault="008548AF" w:rsidP="008548AF">
      <w:pPr>
        <w:ind w:firstLine="1980"/>
        <w:rPr>
          <w:sz w:val="22"/>
        </w:rPr>
      </w:pPr>
    </w:p>
    <w:p w:rsidR="00836A8C" w:rsidRDefault="00836A8C" w:rsidP="00836A8C">
      <w:pPr>
        <w:ind w:left="3828"/>
        <w:jc w:val="center"/>
      </w:pPr>
      <w:r>
        <w:t>LILIA NOEMI DIEZ</w:t>
      </w:r>
    </w:p>
    <w:p w:rsidR="00836A8C" w:rsidRDefault="00836A8C" w:rsidP="00836A8C">
      <w:pPr>
        <w:ind w:left="3828"/>
        <w:jc w:val="center"/>
      </w:pPr>
      <w:r>
        <w:t>ABOGADA-ESCRIBANA</w:t>
      </w:r>
    </w:p>
    <w:p w:rsidR="00836A8C" w:rsidRDefault="00836A8C" w:rsidP="00836A8C">
      <w:pPr>
        <w:ind w:left="3828"/>
        <w:jc w:val="center"/>
      </w:pPr>
      <w:r>
        <w:t>DIRECTORA</w:t>
      </w:r>
    </w:p>
    <w:p w:rsidR="00836A8C" w:rsidRDefault="00836A8C" w:rsidP="00836A8C">
      <w:pPr>
        <w:ind w:left="3828"/>
        <w:jc w:val="center"/>
      </w:pPr>
      <w:r>
        <w:t>REGISTRO DE LA PROPIEDAD INMUEBLE</w:t>
      </w:r>
    </w:p>
    <w:p w:rsidR="00836A8C" w:rsidRDefault="00836A8C" w:rsidP="00836A8C">
      <w:pPr>
        <w:jc w:val="center"/>
      </w:pPr>
    </w:p>
    <w:p w:rsidR="00836A8C" w:rsidRDefault="00836A8C" w:rsidP="00836A8C">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8AF"/>
    <w:rsid w:val="000C2E99"/>
    <w:rsid w:val="00262C9B"/>
    <w:rsid w:val="00836A8C"/>
    <w:rsid w:val="008548AF"/>
    <w:rsid w:val="009F5CA7"/>
    <w:rsid w:val="00DB2EB2"/>
    <w:rsid w:val="00EE524B"/>
    <w:rsid w:val="00F44AC8"/>
    <w:rsid w:val="00FC2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AF"/>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548AF"/>
    <w:pPr>
      <w:keepNext/>
      <w:ind w:firstLine="1985"/>
      <w:jc w:val="both"/>
      <w:outlineLvl w:val="0"/>
    </w:pPr>
    <w:rPr>
      <w:szCs w:val="20"/>
    </w:rPr>
  </w:style>
  <w:style w:type="paragraph" w:styleId="Ttulo4">
    <w:name w:val="heading 4"/>
    <w:basedOn w:val="Normal"/>
    <w:next w:val="Normal"/>
    <w:link w:val="Ttulo4Car"/>
    <w:semiHidden/>
    <w:unhideWhenUsed/>
    <w:qFormat/>
    <w:rsid w:val="008548AF"/>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8548AF"/>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8548AF"/>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8AF"/>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8548AF"/>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8548AF"/>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8548AF"/>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unhideWhenUsed/>
    <w:rsid w:val="008548AF"/>
    <w:pPr>
      <w:ind w:firstLine="900"/>
    </w:pPr>
  </w:style>
  <w:style w:type="character" w:customStyle="1" w:styleId="SangradetextonormalCar">
    <w:name w:val="Sangría de texto normal Car"/>
    <w:basedOn w:val="Fuentedeprrafopredeter"/>
    <w:link w:val="Sangradetextonormal"/>
    <w:rsid w:val="008548AF"/>
    <w:rPr>
      <w:rFonts w:ascii="Times New Roman" w:eastAsia="Times New Roman" w:hAnsi="Times New Roman" w:cs="Times New Roman"/>
      <w:sz w:val="24"/>
      <w:szCs w:val="24"/>
      <w:lang w:eastAsia="es-ES"/>
    </w:rPr>
  </w:style>
  <w:style w:type="character" w:customStyle="1" w:styleId="cuerpo1">
    <w:name w:val="cuerpo1"/>
    <w:basedOn w:val="Fuentedeprrafopredeter"/>
    <w:rsid w:val="008548AF"/>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58545623">
      <w:bodyDiv w:val="1"/>
      <w:marLeft w:val="0"/>
      <w:marRight w:val="0"/>
      <w:marTop w:val="0"/>
      <w:marBottom w:val="0"/>
      <w:divBdr>
        <w:top w:val="none" w:sz="0" w:space="0" w:color="auto"/>
        <w:left w:val="none" w:sz="0" w:space="0" w:color="auto"/>
        <w:bottom w:val="none" w:sz="0" w:space="0" w:color="auto"/>
        <w:right w:val="none" w:sz="0" w:space="0" w:color="auto"/>
      </w:divBdr>
    </w:div>
    <w:div w:id="18949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2015-04-15T15:27:00Z</dcterms:created>
  <dcterms:modified xsi:type="dcterms:W3CDTF">2015-10-27T11:41:00Z</dcterms:modified>
</cp:coreProperties>
</file>