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8B" w:rsidRDefault="00196F8B" w:rsidP="00196F8B">
      <w:pPr>
        <w:pStyle w:val="Ttulo5"/>
        <w:ind w:right="0" w:hanging="567"/>
        <w:jc w:val="left"/>
      </w:pPr>
      <w:r>
        <w:rPr>
          <w:rFonts w:ascii="Arial" w:hAnsi="Arial"/>
          <w:b/>
          <w:noProof/>
        </w:rPr>
        <w:t>PROVINCIA del CHACO</w:t>
      </w:r>
    </w:p>
    <w:p w:rsidR="00196F8B" w:rsidRDefault="00277057" w:rsidP="00196F8B">
      <w:pPr>
        <w:pStyle w:val="Ttulo6"/>
        <w:ind w:hanging="14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95pt;margin-top:-12.7pt;width:37.9pt;height:56pt;z-index:251658240" o:allowincell="f">
            <v:imagedata r:id="rId5" o:title=""/>
            <w10:wrap type="topAndBottom"/>
          </v:shape>
          <o:OLEObject Type="Embed" ProgID="PBrush" ShapeID="_x0000_s1026" DrawAspect="Content" ObjectID="_1506834889" r:id="rId6"/>
        </w:pict>
      </w:r>
      <w:r w:rsidR="00196F8B">
        <w:t xml:space="preserve">                 Ministerio de Gobierno, Justicia y Trabajo</w:t>
      </w:r>
    </w:p>
    <w:p w:rsidR="00196F8B" w:rsidRDefault="00196F8B" w:rsidP="00196F8B">
      <w:pPr>
        <w:pStyle w:val="Ttulo1"/>
        <w:ind w:left="-709" w:hanging="567"/>
        <w:jc w:val="left"/>
      </w:pPr>
      <w:r>
        <w:t xml:space="preserve">         </w:t>
      </w: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  <w:r>
        <w:t xml:space="preserve"> </w:t>
      </w:r>
    </w:p>
    <w:p w:rsidR="00196F8B" w:rsidRDefault="00196F8B" w:rsidP="00196F8B">
      <w:pPr>
        <w:ind w:right="3878"/>
        <w:jc w:val="center"/>
        <w:rPr>
          <w:rFonts w:ascii="Book Antiqua" w:hAnsi="Book Antiqua"/>
          <w:sz w:val="24"/>
        </w:rPr>
      </w:pPr>
    </w:p>
    <w:p w:rsidR="00196F8B" w:rsidRDefault="00196F8B" w:rsidP="00196F8B">
      <w:pPr>
        <w:ind w:right="51"/>
        <w:jc w:val="both"/>
        <w:rPr>
          <w:sz w:val="24"/>
        </w:rPr>
      </w:pPr>
    </w:p>
    <w:p w:rsidR="00196F8B" w:rsidRDefault="00196F8B" w:rsidP="00196F8B">
      <w:pPr>
        <w:ind w:right="51"/>
        <w:jc w:val="right"/>
        <w:rPr>
          <w:sz w:val="24"/>
        </w:rPr>
      </w:pPr>
      <w:r>
        <w:rPr>
          <w:sz w:val="24"/>
        </w:rPr>
        <w:t>Resistencia, 31 de Mayo de 2000.</w:t>
      </w:r>
    </w:p>
    <w:p w:rsidR="00196F8B" w:rsidRDefault="00196F8B" w:rsidP="00196F8B">
      <w:pPr>
        <w:ind w:right="51"/>
        <w:jc w:val="both"/>
        <w:rPr>
          <w:sz w:val="24"/>
        </w:rPr>
      </w:pPr>
    </w:p>
    <w:p w:rsidR="00196F8B" w:rsidRDefault="00196F8B" w:rsidP="00196F8B">
      <w:pPr>
        <w:ind w:right="51"/>
        <w:jc w:val="both"/>
        <w:rPr>
          <w:sz w:val="24"/>
        </w:rPr>
      </w:pPr>
      <w:bookmarkStart w:id="0" w:name="_Hlt483967271"/>
      <w:bookmarkStart w:id="1" w:name="Familia"/>
      <w:bookmarkEnd w:id="0"/>
      <w:r>
        <w:rPr>
          <w:b/>
          <w:sz w:val="24"/>
          <w:u w:val="single"/>
        </w:rPr>
        <w:t>VIST</w:t>
      </w:r>
      <w:bookmarkStart w:id="2" w:name="_Hlt3252294"/>
      <w:bookmarkEnd w:id="2"/>
      <w:r>
        <w:rPr>
          <w:b/>
          <w:sz w:val="24"/>
          <w:u w:val="single"/>
        </w:rPr>
        <w:t>O</w:t>
      </w:r>
      <w:bookmarkEnd w:id="1"/>
      <w:r>
        <w:rPr>
          <w:b/>
          <w:sz w:val="24"/>
          <w:u w:val="single"/>
        </w:rPr>
        <w:t>:</w:t>
      </w:r>
    </w:p>
    <w:p w:rsidR="00196F8B" w:rsidRDefault="00196F8B" w:rsidP="00196F8B">
      <w:pPr>
        <w:ind w:right="51" w:firstLine="1985"/>
        <w:jc w:val="both"/>
        <w:rPr>
          <w:sz w:val="24"/>
        </w:rPr>
      </w:pPr>
      <w:r>
        <w:rPr>
          <w:sz w:val="24"/>
        </w:rPr>
        <w:t>La Disposición Interna Nº49/77 que autorizaba a los Escribanos hasta la expedición de tres “ampliaciones” por vencimiento de los anteriores despachos y;</w:t>
      </w:r>
    </w:p>
    <w:p w:rsidR="00196F8B" w:rsidRDefault="00196F8B" w:rsidP="00196F8B">
      <w:pPr>
        <w:ind w:right="51" w:firstLine="1985"/>
        <w:jc w:val="both"/>
        <w:rPr>
          <w:sz w:val="24"/>
        </w:rPr>
      </w:pPr>
    </w:p>
    <w:p w:rsidR="00196F8B" w:rsidRDefault="00196F8B" w:rsidP="00196F8B">
      <w:pPr>
        <w:ind w:right="51"/>
        <w:jc w:val="both"/>
        <w:rPr>
          <w:sz w:val="24"/>
        </w:rPr>
      </w:pPr>
      <w:r>
        <w:rPr>
          <w:b/>
          <w:sz w:val="24"/>
          <w:u w:val="single"/>
        </w:rPr>
        <w:t>CONSIDERANDO:</w:t>
      </w:r>
      <w:bookmarkStart w:id="3" w:name="_Hlt523713211"/>
      <w:bookmarkEnd w:id="3"/>
    </w:p>
    <w:p w:rsidR="00196F8B" w:rsidRDefault="00196F8B" w:rsidP="00196F8B">
      <w:pPr>
        <w:ind w:right="51" w:firstLine="1985"/>
        <w:jc w:val="both"/>
        <w:rPr>
          <w:sz w:val="24"/>
        </w:rPr>
      </w:pPr>
      <w:r>
        <w:rPr>
          <w:sz w:val="24"/>
        </w:rPr>
        <w:t>Que técnicamente no existen las “ampliaciones”, que se trata de una mala praxis registral atento a las circunstancias que con anterioridad a la Disposición ut supra mencionada venía siendo utilizado, habiendo la Disposición Ut Supra mencionada reglamentado en cierta medida tal circunstancia;</w:t>
      </w:r>
    </w:p>
    <w:p w:rsidR="00196F8B" w:rsidRDefault="00196F8B" w:rsidP="00196F8B">
      <w:pPr>
        <w:ind w:right="51" w:firstLine="1985"/>
        <w:jc w:val="both"/>
        <w:rPr>
          <w:sz w:val="24"/>
        </w:rPr>
      </w:pPr>
      <w:r>
        <w:rPr>
          <w:sz w:val="24"/>
        </w:rPr>
        <w:t xml:space="preserve">Que la fluidez de los negocios jurídicos y la complicada realidad económica que nos toca vivir nos lleva a la necesidad de extremar los recaudos necesarios para evitar un yerro en cuanto a la calificación y expedición de un certificado estando pendiente </w:t>
      </w:r>
      <w:r w:rsidR="00D04AA7">
        <w:rPr>
          <w:sz w:val="24"/>
        </w:rPr>
        <w:t>una medida cautelar inscripta en forma condicional a la expedición del mismo</w:t>
      </w:r>
      <w:r>
        <w:rPr>
          <w:sz w:val="24"/>
        </w:rPr>
        <w:t>;</w:t>
      </w:r>
    </w:p>
    <w:p w:rsidR="00196F8B" w:rsidRDefault="00D04AA7" w:rsidP="00196F8B">
      <w:pPr>
        <w:ind w:firstLine="1985"/>
        <w:jc w:val="both"/>
        <w:rPr>
          <w:sz w:val="24"/>
        </w:rPr>
      </w:pPr>
      <w:r>
        <w:rPr>
          <w:sz w:val="24"/>
        </w:rPr>
        <w:t>Que tal figura no se encuentra contemplado dentro de la normativa de la Ley 17.801, lo que puede traer complicaciones de riesgo en el sistema de prioridad y rango registral</w:t>
      </w:r>
      <w:r w:rsidR="00196F8B">
        <w:rPr>
          <w:sz w:val="24"/>
        </w:rPr>
        <w:t>;</w:t>
      </w:r>
    </w:p>
    <w:p w:rsidR="00D04AA7" w:rsidRDefault="00D04AA7" w:rsidP="00196F8B">
      <w:pPr>
        <w:ind w:firstLine="1985"/>
        <w:jc w:val="both"/>
        <w:rPr>
          <w:sz w:val="24"/>
        </w:rPr>
      </w:pPr>
      <w:r>
        <w:rPr>
          <w:sz w:val="24"/>
        </w:rPr>
        <w:t>Que cada certificado vale per se teniendo el mismo vigencia autónoma e independiente a los efectos registrales que le corresponde;</w:t>
      </w:r>
    </w:p>
    <w:p w:rsidR="00196F8B" w:rsidRDefault="00D04AA7" w:rsidP="00196F8B">
      <w:pPr>
        <w:tabs>
          <w:tab w:val="left" w:pos="4395"/>
        </w:tabs>
        <w:ind w:firstLine="1985"/>
        <w:jc w:val="both"/>
        <w:rPr>
          <w:sz w:val="24"/>
        </w:rPr>
      </w:pPr>
      <w:r>
        <w:rPr>
          <w:sz w:val="24"/>
        </w:rPr>
        <w:t>Que conforme al artículo 36 inciso c) y f) del Decreto Nº306/69</w:t>
      </w:r>
      <w:r w:rsidR="00196F8B">
        <w:rPr>
          <w:sz w:val="24"/>
        </w:rPr>
        <w:t>;</w:t>
      </w:r>
    </w:p>
    <w:p w:rsidR="00196F8B" w:rsidRDefault="00196F8B" w:rsidP="00196F8B">
      <w:pPr>
        <w:jc w:val="both"/>
      </w:pPr>
    </w:p>
    <w:p w:rsidR="00196F8B" w:rsidRPr="00D04AA7" w:rsidRDefault="00D04AA7" w:rsidP="00D04AA7">
      <w:pPr>
        <w:ind w:right="51"/>
        <w:jc w:val="center"/>
        <w:rPr>
          <w:b/>
          <w:sz w:val="24"/>
        </w:rPr>
      </w:pPr>
      <w:r>
        <w:rPr>
          <w:b/>
          <w:sz w:val="24"/>
        </w:rPr>
        <w:t xml:space="preserve">LA </w:t>
      </w:r>
      <w:r w:rsidR="00196F8B">
        <w:rPr>
          <w:b/>
          <w:sz w:val="24"/>
        </w:rPr>
        <w:t>DIRECTORA DEL REGISTRO DE LA PROPIEDAD INMUEBLE</w:t>
      </w:r>
    </w:p>
    <w:p w:rsidR="00196F8B" w:rsidRDefault="00196F8B" w:rsidP="00196F8B">
      <w:pPr>
        <w:ind w:right="51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 I S P O N E </w:t>
      </w:r>
    </w:p>
    <w:p w:rsidR="00196F8B" w:rsidRDefault="00196F8B" w:rsidP="00196F8B">
      <w:pPr>
        <w:ind w:right="51"/>
        <w:jc w:val="both"/>
      </w:pPr>
    </w:p>
    <w:p w:rsidR="00196F8B" w:rsidRDefault="00D04AA7" w:rsidP="00196F8B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 xml:space="preserve">Derogar </w:t>
      </w:r>
      <w:r w:rsidR="006052EA">
        <w:rPr>
          <w:sz w:val="24"/>
        </w:rPr>
        <w:t>la Disposición Técnico Registral Nº49/77.</w:t>
      </w:r>
    </w:p>
    <w:p w:rsidR="006052EA" w:rsidRDefault="006052EA" w:rsidP="00196F8B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>A partir de la fecha 31 de Mayo de 2000, los descargos del Folio Real y las notas en las solicitudes de certificación se harán conforme al requerimiento de cualquier certificado.</w:t>
      </w:r>
    </w:p>
    <w:p w:rsidR="006052EA" w:rsidRDefault="006052EA" w:rsidP="00196F8B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>Inutilizar el sello que reza no han sufrido modificaciones las constancias del certificado anterior.</w:t>
      </w:r>
    </w:p>
    <w:p w:rsidR="006052EA" w:rsidRDefault="006052EA" w:rsidP="00196F8B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>No se otorgarán más ampliaciones.</w:t>
      </w:r>
    </w:p>
    <w:p w:rsidR="006052EA" w:rsidRDefault="006052EA" w:rsidP="00196F8B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 xml:space="preserve"> Comunicar al Colegio de Escribanos de la presente para que comunique a los colegiados, a los efectos de evitar el requerimiento de “ampliaciones”.</w:t>
      </w:r>
    </w:p>
    <w:p w:rsidR="00196F8B" w:rsidRPr="00A608E6" w:rsidRDefault="00196F8B" w:rsidP="00196F8B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>Notifíquese, regístrese y hágase saber, cumplido, archívese.</w:t>
      </w:r>
      <w:bookmarkStart w:id="4" w:name="_Hlt483967533"/>
      <w:bookmarkEnd w:id="4"/>
    </w:p>
    <w:p w:rsidR="00196F8B" w:rsidRDefault="00196F8B" w:rsidP="00196F8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DI</w:t>
      </w:r>
      <w:r w:rsidR="006052EA">
        <w:rPr>
          <w:b/>
          <w:sz w:val="24"/>
          <w:u w:val="single"/>
        </w:rPr>
        <w:t>SPOSICIÓN TECNICA REGISTRAL Nº08/2000</w:t>
      </w:r>
      <w:r>
        <w:rPr>
          <w:b/>
          <w:sz w:val="24"/>
          <w:u w:val="single"/>
        </w:rPr>
        <w:t>.</w:t>
      </w:r>
    </w:p>
    <w:p w:rsidR="00A608E6" w:rsidRPr="00A608E6" w:rsidRDefault="00A608E6" w:rsidP="00A608E6">
      <w:pPr>
        <w:ind w:left="3828"/>
        <w:jc w:val="center"/>
        <w:rPr>
          <w:sz w:val="22"/>
          <w:szCs w:val="22"/>
        </w:rPr>
      </w:pPr>
      <w:r w:rsidRPr="00A608E6">
        <w:rPr>
          <w:sz w:val="22"/>
          <w:szCs w:val="22"/>
        </w:rPr>
        <w:t>IRMA MIRTHA G. GOUSSAL DE ZANAZZO</w:t>
      </w:r>
    </w:p>
    <w:p w:rsidR="00A608E6" w:rsidRPr="00A608E6" w:rsidRDefault="00A608E6" w:rsidP="00A608E6">
      <w:pPr>
        <w:ind w:left="3828"/>
        <w:jc w:val="center"/>
        <w:rPr>
          <w:sz w:val="22"/>
          <w:szCs w:val="22"/>
        </w:rPr>
      </w:pPr>
      <w:r w:rsidRPr="00A608E6">
        <w:rPr>
          <w:sz w:val="22"/>
          <w:szCs w:val="22"/>
        </w:rPr>
        <w:t>ABOGADA</w:t>
      </w:r>
    </w:p>
    <w:p w:rsidR="00A608E6" w:rsidRPr="00A608E6" w:rsidRDefault="00A608E6" w:rsidP="00A608E6">
      <w:pPr>
        <w:ind w:left="3828"/>
        <w:jc w:val="center"/>
        <w:rPr>
          <w:sz w:val="22"/>
          <w:szCs w:val="22"/>
        </w:rPr>
      </w:pPr>
      <w:r w:rsidRPr="00A608E6">
        <w:rPr>
          <w:sz w:val="22"/>
          <w:szCs w:val="22"/>
        </w:rPr>
        <w:t>DIRECTORA</w:t>
      </w:r>
    </w:p>
    <w:p w:rsidR="00A608E6" w:rsidRPr="00A608E6" w:rsidRDefault="00A608E6" w:rsidP="00A608E6">
      <w:pPr>
        <w:ind w:left="3828"/>
        <w:jc w:val="center"/>
        <w:rPr>
          <w:sz w:val="22"/>
          <w:szCs w:val="22"/>
        </w:rPr>
      </w:pPr>
      <w:r w:rsidRPr="00A608E6">
        <w:rPr>
          <w:sz w:val="22"/>
          <w:szCs w:val="22"/>
        </w:rPr>
        <w:t>REGISTRO DE LA PROPIEDAD INMUEBLE</w:t>
      </w:r>
    </w:p>
    <w:p w:rsidR="00196F8B" w:rsidRDefault="00196F8B" w:rsidP="00196F8B"/>
    <w:p w:rsidR="00196F8B" w:rsidRDefault="00196F8B" w:rsidP="00196F8B"/>
    <w:p w:rsidR="00196F8B" w:rsidRDefault="00196F8B" w:rsidP="00196F8B"/>
    <w:p w:rsidR="00F44AC8" w:rsidRDefault="00F44AC8"/>
    <w:sectPr w:rsidR="00F44AC8" w:rsidSect="00F4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5273"/>
    <w:multiLevelType w:val="singleLevel"/>
    <w:tmpl w:val="948412BA"/>
    <w:lvl w:ilvl="0">
      <w:start w:val="1"/>
      <w:numFmt w:val="decimal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F8B"/>
    <w:rsid w:val="00196F8B"/>
    <w:rsid w:val="00277057"/>
    <w:rsid w:val="006052EA"/>
    <w:rsid w:val="006079E1"/>
    <w:rsid w:val="00A608E6"/>
    <w:rsid w:val="00D04AA7"/>
    <w:rsid w:val="00F4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8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96F8B"/>
    <w:pPr>
      <w:keepNext/>
      <w:ind w:firstLine="1985"/>
      <w:jc w:val="both"/>
      <w:outlineLvl w:val="0"/>
    </w:pPr>
    <w:rPr>
      <w:sz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96F8B"/>
    <w:pPr>
      <w:keepNext/>
      <w:ind w:right="51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96F8B"/>
    <w:pPr>
      <w:keepNext/>
      <w:ind w:left="-709" w:firstLine="425"/>
      <w:outlineLvl w:val="5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96F8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196F8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196F8B"/>
    <w:rPr>
      <w:rFonts w:ascii="Arial" w:eastAsia="Times New Roman" w:hAnsi="Arial" w:cs="Times New Roman"/>
      <w:b/>
      <w:i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dominio13</dc:creator>
  <cp:keywords/>
  <dc:description/>
  <cp:lastModifiedBy>dominio13</cp:lastModifiedBy>
  <cp:revision>2</cp:revision>
  <dcterms:created xsi:type="dcterms:W3CDTF">2015-04-15T12:58:00Z</dcterms:created>
  <dcterms:modified xsi:type="dcterms:W3CDTF">2015-10-20T11:28:00Z</dcterms:modified>
</cp:coreProperties>
</file>