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FE" w:rsidRDefault="008A7424" w:rsidP="009B53FE">
      <w:pPr>
        <w:pStyle w:val="Ttulo5"/>
        <w:ind w:right="0" w:hanging="5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06838203" r:id="rId6"/>
        </w:pict>
      </w:r>
      <w:r w:rsidR="009B53FE">
        <w:rPr>
          <w:rFonts w:ascii="Arial" w:hAnsi="Arial"/>
          <w:b/>
          <w:noProof/>
        </w:rPr>
        <w:t>PROVINCIA del CHACO</w:t>
      </w:r>
    </w:p>
    <w:p w:rsidR="009B53FE" w:rsidRDefault="009B53FE" w:rsidP="009B53FE">
      <w:pPr>
        <w:pStyle w:val="Ttulo6"/>
        <w:ind w:hanging="1418"/>
      </w:pPr>
      <w:r>
        <w:t xml:space="preserve">                 Ministerio de Gobierno, Justicia y Trabajo</w:t>
      </w:r>
    </w:p>
    <w:p w:rsidR="009B53FE" w:rsidRDefault="009B53FE" w:rsidP="009B53FE">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9B53FE" w:rsidRDefault="009B53FE" w:rsidP="009B53FE">
      <w:pPr>
        <w:ind w:right="51"/>
        <w:jc w:val="right"/>
        <w:rPr>
          <w:sz w:val="24"/>
        </w:rPr>
      </w:pPr>
      <w:bookmarkStart w:id="0" w:name="_Hlt524920008"/>
      <w:bookmarkEnd w:id="0"/>
    </w:p>
    <w:p w:rsidR="009B53FE" w:rsidRDefault="009B53FE" w:rsidP="009B53FE">
      <w:pPr>
        <w:ind w:right="51"/>
        <w:jc w:val="right"/>
        <w:rPr>
          <w:sz w:val="16"/>
          <w:szCs w:val="16"/>
        </w:rPr>
      </w:pPr>
    </w:p>
    <w:p w:rsidR="009B53FE" w:rsidRDefault="009B53FE" w:rsidP="009B53FE">
      <w:pPr>
        <w:ind w:right="51"/>
        <w:jc w:val="right"/>
        <w:rPr>
          <w:sz w:val="24"/>
          <w:szCs w:val="24"/>
        </w:rPr>
      </w:pPr>
      <w:bookmarkStart w:id="1" w:name="_Hlt67287078"/>
      <w:r>
        <w:rPr>
          <w:sz w:val="24"/>
          <w:szCs w:val="24"/>
        </w:rPr>
        <w:t>Resistencia, 03 de Febrero de 1995.</w:t>
      </w:r>
    </w:p>
    <w:p w:rsidR="009B53FE" w:rsidRDefault="009B53FE" w:rsidP="009B53FE">
      <w:pPr>
        <w:ind w:right="51"/>
        <w:jc w:val="both"/>
        <w:rPr>
          <w:sz w:val="24"/>
          <w:szCs w:val="24"/>
        </w:rPr>
      </w:pPr>
      <w:bookmarkStart w:id="2" w:name="_Hlt3251497"/>
      <w:bookmarkStart w:id="3" w:name="NORMATIVA"/>
      <w:bookmarkEnd w:id="1"/>
      <w:bookmarkEnd w:id="2"/>
      <w:r>
        <w:rPr>
          <w:b/>
          <w:sz w:val="24"/>
          <w:szCs w:val="24"/>
          <w:u w:val="single"/>
        </w:rPr>
        <w:t>VISTO</w:t>
      </w:r>
      <w:bookmarkEnd w:id="3"/>
      <w:r>
        <w:rPr>
          <w:b/>
          <w:sz w:val="24"/>
          <w:szCs w:val="24"/>
          <w:u w:val="single"/>
        </w:rPr>
        <w:t>:</w:t>
      </w:r>
    </w:p>
    <w:p w:rsidR="009B53FE" w:rsidRDefault="009B53FE" w:rsidP="009B53FE">
      <w:pPr>
        <w:pStyle w:val="Sangra2detindependiente"/>
        <w:rPr>
          <w:szCs w:val="24"/>
        </w:rPr>
      </w:pPr>
      <w:r>
        <w:rPr>
          <w:szCs w:val="24"/>
        </w:rPr>
        <w:t>Los numerosos oficios judiciales que solicitan la toma de razón de embargos decretados sobre el 50% de un inmueble ganancial de propiedad del deudor; y</w:t>
      </w:r>
    </w:p>
    <w:p w:rsidR="009B53FE" w:rsidRDefault="009B53FE" w:rsidP="009B53FE">
      <w:pPr>
        <w:pStyle w:val="Sangra2detindependiente"/>
        <w:rPr>
          <w:sz w:val="16"/>
          <w:szCs w:val="16"/>
        </w:rPr>
      </w:pPr>
    </w:p>
    <w:p w:rsidR="009B53FE" w:rsidRDefault="009B53FE" w:rsidP="009B53FE">
      <w:pPr>
        <w:ind w:right="51"/>
        <w:jc w:val="both"/>
        <w:rPr>
          <w:b/>
          <w:sz w:val="24"/>
          <w:szCs w:val="24"/>
          <w:u w:val="single"/>
        </w:rPr>
      </w:pPr>
      <w:r>
        <w:rPr>
          <w:b/>
          <w:sz w:val="24"/>
          <w:szCs w:val="24"/>
          <w:u w:val="single"/>
        </w:rPr>
        <w:t>CONSIDERANDO:</w:t>
      </w:r>
    </w:p>
    <w:p w:rsidR="009B53FE" w:rsidRDefault="009B53FE" w:rsidP="009B53FE">
      <w:pPr>
        <w:ind w:right="51" w:firstLine="1985"/>
        <w:jc w:val="both"/>
        <w:rPr>
          <w:sz w:val="24"/>
          <w:szCs w:val="24"/>
        </w:rPr>
      </w:pPr>
      <w:r>
        <w:rPr>
          <w:sz w:val="24"/>
          <w:szCs w:val="24"/>
        </w:rPr>
        <w:t>Que esta situación genera dudas en los registradores y errores en la registración, teniendo en cuenta los considerandos y lo dispuesto en la Disposición Técnico Registral Nº27/94 del 02/09/94 y 4/95 del mes de enero de 1995;</w:t>
      </w:r>
    </w:p>
    <w:p w:rsidR="009B53FE" w:rsidRDefault="009B53FE" w:rsidP="009B53FE">
      <w:pPr>
        <w:ind w:right="51" w:firstLine="1985"/>
        <w:jc w:val="both"/>
        <w:rPr>
          <w:sz w:val="24"/>
          <w:szCs w:val="24"/>
        </w:rPr>
      </w:pPr>
      <w:r>
        <w:rPr>
          <w:sz w:val="24"/>
          <w:szCs w:val="24"/>
        </w:rPr>
        <w:t>Que las causales de disolución de la sociedad conyugal se encuentran taxativamente determinadas en el art. 1291-1306 y 123 del Código Civil y las prescripciones de la Ley Nº23.515;</w:t>
      </w:r>
    </w:p>
    <w:p w:rsidR="009B53FE" w:rsidRDefault="009B53FE" w:rsidP="009B53FE">
      <w:pPr>
        <w:ind w:right="51" w:firstLine="1985"/>
        <w:jc w:val="both"/>
        <w:rPr>
          <w:sz w:val="24"/>
          <w:szCs w:val="24"/>
        </w:rPr>
      </w:pPr>
      <w:r>
        <w:rPr>
          <w:sz w:val="24"/>
          <w:szCs w:val="24"/>
        </w:rPr>
        <w:t xml:space="preserve">Que mientras las operaciones de partición de la sociedad conyugal no tengan acceso </w:t>
      </w:r>
      <w:r w:rsidR="00C460C4">
        <w:rPr>
          <w:sz w:val="24"/>
          <w:szCs w:val="24"/>
        </w:rPr>
        <w:t>al Registro, el acreedor no puede embargar ni siquiera el 50% del bien, porque éste integra la comunidad, y antes de la partición se puede asegurar que ese bien embargado puede serle adjudicado al cónyuge deudor. El embargo se debe hacer sobre la parte que le corresponde en la comunidad ganancial;</w:t>
      </w:r>
    </w:p>
    <w:p w:rsidR="009B53FE" w:rsidRDefault="009B53FE" w:rsidP="009B53FE">
      <w:pPr>
        <w:ind w:right="51" w:firstLine="1985"/>
        <w:jc w:val="both"/>
        <w:rPr>
          <w:sz w:val="24"/>
          <w:szCs w:val="24"/>
        </w:rPr>
      </w:pPr>
      <w:r>
        <w:rPr>
          <w:sz w:val="24"/>
          <w:szCs w:val="24"/>
        </w:rPr>
        <w:t xml:space="preserve">Que </w:t>
      </w:r>
      <w:r w:rsidR="00C460C4">
        <w:rPr>
          <w:sz w:val="24"/>
          <w:szCs w:val="24"/>
        </w:rPr>
        <w:t xml:space="preserve">en uso de las atribuciones conferidas en los </w:t>
      </w:r>
      <w:r>
        <w:rPr>
          <w:sz w:val="24"/>
          <w:szCs w:val="24"/>
        </w:rPr>
        <w:t>art</w:t>
      </w:r>
      <w:r w:rsidR="00C460C4">
        <w:rPr>
          <w:sz w:val="24"/>
          <w:szCs w:val="24"/>
        </w:rPr>
        <w:t>s.35</w:t>
      </w:r>
      <w:r>
        <w:rPr>
          <w:sz w:val="24"/>
          <w:szCs w:val="24"/>
        </w:rPr>
        <w:t xml:space="preserve"> y 37 del Decreto 306/69.</w:t>
      </w:r>
    </w:p>
    <w:p w:rsidR="009B53FE" w:rsidRDefault="009B53FE" w:rsidP="009B53FE">
      <w:pPr>
        <w:ind w:right="51" w:firstLine="1985"/>
        <w:jc w:val="both"/>
        <w:rPr>
          <w:sz w:val="16"/>
          <w:szCs w:val="16"/>
        </w:rPr>
      </w:pPr>
      <w:bookmarkStart w:id="4" w:name="_Hlt19932522"/>
      <w:bookmarkEnd w:id="4"/>
    </w:p>
    <w:p w:rsidR="00C460C4" w:rsidRDefault="009B53FE" w:rsidP="00C460C4">
      <w:pPr>
        <w:ind w:right="51"/>
        <w:jc w:val="center"/>
        <w:rPr>
          <w:b/>
          <w:sz w:val="24"/>
          <w:szCs w:val="24"/>
        </w:rPr>
      </w:pPr>
      <w:r>
        <w:rPr>
          <w:b/>
          <w:sz w:val="24"/>
          <w:szCs w:val="24"/>
        </w:rPr>
        <w:t xml:space="preserve">LA SUBDIRECTORA </w:t>
      </w:r>
      <w:r w:rsidR="00C460C4">
        <w:rPr>
          <w:b/>
          <w:sz w:val="24"/>
          <w:szCs w:val="24"/>
        </w:rPr>
        <w:t>A CARGO DE LA DIRECCION</w:t>
      </w:r>
    </w:p>
    <w:p w:rsidR="009B53FE" w:rsidRDefault="009B53FE" w:rsidP="009B53FE">
      <w:pPr>
        <w:ind w:right="51"/>
        <w:jc w:val="center"/>
        <w:rPr>
          <w:b/>
          <w:sz w:val="24"/>
          <w:szCs w:val="24"/>
        </w:rPr>
      </w:pPr>
      <w:r>
        <w:rPr>
          <w:b/>
          <w:sz w:val="24"/>
          <w:szCs w:val="24"/>
        </w:rPr>
        <w:t>DEL REGISTRO DE LA PROPIEDAD INMUEBLE</w:t>
      </w:r>
    </w:p>
    <w:p w:rsidR="009B53FE" w:rsidRDefault="009B53FE" w:rsidP="009B53FE">
      <w:pPr>
        <w:ind w:right="51"/>
        <w:jc w:val="center"/>
        <w:rPr>
          <w:b/>
          <w:sz w:val="24"/>
          <w:szCs w:val="24"/>
          <w:u w:val="single"/>
        </w:rPr>
      </w:pPr>
      <w:r>
        <w:rPr>
          <w:b/>
          <w:sz w:val="24"/>
          <w:szCs w:val="24"/>
          <w:u w:val="single"/>
        </w:rPr>
        <w:t xml:space="preserve">D I S P O N E </w:t>
      </w:r>
    </w:p>
    <w:p w:rsidR="009B53FE" w:rsidRDefault="009B53FE" w:rsidP="009B53FE">
      <w:pPr>
        <w:ind w:right="51"/>
        <w:jc w:val="center"/>
        <w:rPr>
          <w:b/>
          <w:sz w:val="16"/>
          <w:szCs w:val="16"/>
          <w:u w:val="single"/>
        </w:rPr>
      </w:pPr>
    </w:p>
    <w:p w:rsidR="009B53FE" w:rsidRDefault="00C460C4" w:rsidP="009B53FE">
      <w:pPr>
        <w:numPr>
          <w:ilvl w:val="0"/>
          <w:numId w:val="2"/>
        </w:numPr>
        <w:ind w:right="51"/>
        <w:jc w:val="both"/>
        <w:rPr>
          <w:sz w:val="24"/>
          <w:szCs w:val="24"/>
        </w:rPr>
      </w:pPr>
      <w:r>
        <w:rPr>
          <w:sz w:val="24"/>
          <w:szCs w:val="24"/>
        </w:rPr>
        <w:t xml:space="preserve">El registrador que tenga a la vista un oficio judicial que ordene inscribir una medida cautelar sobre un inmueble de un titular </w:t>
      </w:r>
      <w:proofErr w:type="spellStart"/>
      <w:r>
        <w:rPr>
          <w:sz w:val="24"/>
          <w:szCs w:val="24"/>
        </w:rPr>
        <w:t>dominial</w:t>
      </w:r>
      <w:proofErr w:type="spellEnd"/>
      <w:r>
        <w:rPr>
          <w:sz w:val="24"/>
          <w:szCs w:val="24"/>
        </w:rPr>
        <w:t xml:space="preserve"> cuyo estado civil es casado, deberá calificar el documento conforme se expresa en la Disposición Técnico Registral Nº27/94, con respecto a la identidad entre la persona del deudor y el titular </w:t>
      </w:r>
      <w:proofErr w:type="spellStart"/>
      <w:r>
        <w:rPr>
          <w:sz w:val="24"/>
          <w:szCs w:val="24"/>
        </w:rPr>
        <w:t>dominial</w:t>
      </w:r>
      <w:proofErr w:type="spellEnd"/>
      <w:r>
        <w:rPr>
          <w:sz w:val="24"/>
          <w:szCs w:val="24"/>
        </w:rPr>
        <w:t xml:space="preserve"> del inmueble y conforme a lo dispuesto en la Disposición Técnico Registral Nº04/95, en cuanto al monto del mismo</w:t>
      </w:r>
      <w:r w:rsidR="009B53FE">
        <w:rPr>
          <w:sz w:val="24"/>
          <w:szCs w:val="24"/>
        </w:rPr>
        <w:t>.</w:t>
      </w:r>
    </w:p>
    <w:p w:rsidR="008A10AF" w:rsidRPr="008A10AF" w:rsidRDefault="00C460C4" w:rsidP="008A10AF">
      <w:pPr>
        <w:pStyle w:val="Ttulo2"/>
        <w:numPr>
          <w:ilvl w:val="0"/>
          <w:numId w:val="2"/>
        </w:numPr>
        <w:rPr>
          <w:szCs w:val="24"/>
        </w:rPr>
      </w:pPr>
      <w:r>
        <w:rPr>
          <w:szCs w:val="24"/>
        </w:rPr>
        <w:t xml:space="preserve">DEBERA calificar además </w:t>
      </w:r>
      <w:r w:rsidR="008A10AF">
        <w:rPr>
          <w:szCs w:val="24"/>
        </w:rPr>
        <w:t>si la rogatoria judicial expresa un porcentaje del inmueble ganancial, en ese caso deberá devolver el documento observándolo, conforme lo expresado en los considerandos.</w:t>
      </w:r>
    </w:p>
    <w:p w:rsidR="00D35E71" w:rsidRPr="00D35E71" w:rsidRDefault="008A10AF" w:rsidP="00D35E71">
      <w:pPr>
        <w:pStyle w:val="Ttulo2"/>
        <w:numPr>
          <w:ilvl w:val="0"/>
          <w:numId w:val="2"/>
        </w:numPr>
        <w:rPr>
          <w:szCs w:val="24"/>
        </w:rPr>
      </w:pPr>
      <w:r>
        <w:rPr>
          <w:szCs w:val="24"/>
        </w:rPr>
        <w:t xml:space="preserve">DEBERA anotar aquellas medidas cautelares, sobre inmuebles gananciales que </w:t>
      </w:r>
      <w:r>
        <w:rPr>
          <w:szCs w:val="24"/>
          <w:u w:val="single"/>
        </w:rPr>
        <w:t xml:space="preserve">no contengan </w:t>
      </w:r>
      <w:r>
        <w:rPr>
          <w:szCs w:val="24"/>
        </w:rPr>
        <w:t xml:space="preserve">porcentajes, porque la </w:t>
      </w:r>
      <w:r w:rsidR="00D35E71">
        <w:rPr>
          <w:szCs w:val="24"/>
        </w:rPr>
        <w:t>sociedad conyugal está vigente conforme a la inscripción registral, de acuerdo con lo expresado en los considerandos.</w:t>
      </w:r>
    </w:p>
    <w:p w:rsidR="00D35E71" w:rsidRDefault="00D35E71" w:rsidP="009B53FE">
      <w:pPr>
        <w:pStyle w:val="Ttulo2"/>
        <w:numPr>
          <w:ilvl w:val="0"/>
          <w:numId w:val="2"/>
        </w:numPr>
        <w:rPr>
          <w:szCs w:val="24"/>
        </w:rPr>
      </w:pPr>
      <w:r>
        <w:rPr>
          <w:szCs w:val="24"/>
        </w:rPr>
        <w:t xml:space="preserve">DEBERA anotar medidas cautelares sobre inmuebles que permanecen en condominio entre ambos ex-cónyuges una vez disuelta la sociedad conyugal, sobre el porcentual del cónyuge deudor, exprese o no el porcentaje en la rogatoria, poniéndole saber </w:t>
      </w:r>
      <w:r w:rsidR="00BC1E45">
        <w:rPr>
          <w:szCs w:val="24"/>
        </w:rPr>
        <w:t>esta circunstancia al Juez.</w:t>
      </w:r>
      <w:r>
        <w:rPr>
          <w:szCs w:val="24"/>
        </w:rPr>
        <w:t xml:space="preserve"> </w:t>
      </w:r>
    </w:p>
    <w:p w:rsidR="009B53FE" w:rsidRDefault="009B53FE" w:rsidP="009B53FE">
      <w:pPr>
        <w:pStyle w:val="Ttulo2"/>
        <w:numPr>
          <w:ilvl w:val="0"/>
          <w:numId w:val="2"/>
        </w:numPr>
        <w:rPr>
          <w:szCs w:val="24"/>
        </w:rPr>
      </w:pPr>
      <w:r>
        <w:rPr>
          <w:szCs w:val="24"/>
        </w:rPr>
        <w:t>Notifíquese, Comuníquese y archívese.</w:t>
      </w:r>
    </w:p>
    <w:p w:rsidR="00130163" w:rsidRDefault="00130163" w:rsidP="00130163"/>
    <w:p w:rsidR="00130163" w:rsidRPr="00130163" w:rsidRDefault="00130163" w:rsidP="00130163"/>
    <w:p w:rsidR="00130163" w:rsidRDefault="009B53FE" w:rsidP="00130163">
      <w:pPr>
        <w:rPr>
          <w:b/>
          <w:sz w:val="24"/>
          <w:szCs w:val="24"/>
          <w:u w:val="single"/>
        </w:rPr>
      </w:pPr>
      <w:r>
        <w:rPr>
          <w:b/>
          <w:sz w:val="24"/>
          <w:szCs w:val="24"/>
          <w:u w:val="single"/>
        </w:rPr>
        <w:lastRenderedPageBreak/>
        <w:t>DI</w:t>
      </w:r>
      <w:r w:rsidR="00BC1E45">
        <w:rPr>
          <w:b/>
          <w:sz w:val="24"/>
          <w:szCs w:val="24"/>
          <w:u w:val="single"/>
        </w:rPr>
        <w:t>SPOSICIÓN TECNICA REGISTRAL Nº06/1995</w:t>
      </w:r>
      <w:r>
        <w:rPr>
          <w:b/>
          <w:sz w:val="24"/>
          <w:szCs w:val="24"/>
          <w:u w:val="single"/>
        </w:rPr>
        <w:t>.</w:t>
      </w:r>
    </w:p>
    <w:p w:rsidR="00130163" w:rsidRDefault="00130163" w:rsidP="00130163">
      <w:pPr>
        <w:jc w:val="center"/>
      </w:pPr>
      <w:r>
        <w:tab/>
      </w:r>
      <w:r>
        <w:tab/>
      </w:r>
      <w:r>
        <w:tab/>
      </w:r>
      <w:r>
        <w:tab/>
      </w:r>
      <w:r>
        <w:tab/>
      </w:r>
      <w:r>
        <w:tab/>
      </w:r>
      <w:r>
        <w:tab/>
      </w:r>
    </w:p>
    <w:p w:rsidR="00130163" w:rsidRPr="00130163" w:rsidRDefault="00130163" w:rsidP="00130163">
      <w:pPr>
        <w:jc w:val="center"/>
        <w:rPr>
          <w:b/>
          <w:sz w:val="24"/>
          <w:szCs w:val="24"/>
          <w:u w:val="single"/>
        </w:rPr>
      </w:pPr>
      <w:r>
        <w:tab/>
      </w:r>
      <w:r>
        <w:tab/>
      </w:r>
      <w:r>
        <w:tab/>
      </w:r>
      <w:r>
        <w:tab/>
      </w:r>
      <w:r>
        <w:tab/>
      </w:r>
      <w:r>
        <w:tab/>
      </w:r>
      <w:r>
        <w:tab/>
      </w:r>
      <w:r>
        <w:tab/>
        <w:t>LILIA NOEMI DIEZ</w:t>
      </w:r>
    </w:p>
    <w:p w:rsidR="00130163" w:rsidRDefault="00130163" w:rsidP="00130163">
      <w:pPr>
        <w:jc w:val="center"/>
      </w:pPr>
      <w:r>
        <w:tab/>
      </w:r>
      <w:r>
        <w:tab/>
      </w:r>
      <w:r>
        <w:tab/>
      </w:r>
      <w:r>
        <w:tab/>
      </w:r>
      <w:r>
        <w:tab/>
      </w:r>
      <w:r>
        <w:tab/>
      </w:r>
      <w:r>
        <w:tab/>
      </w:r>
      <w:r>
        <w:tab/>
        <w:t>ABOGADA-ESCRIBANA</w:t>
      </w:r>
    </w:p>
    <w:p w:rsidR="00130163" w:rsidRDefault="00130163" w:rsidP="00130163">
      <w:pPr>
        <w:jc w:val="center"/>
      </w:pPr>
      <w:r>
        <w:tab/>
      </w:r>
      <w:r>
        <w:tab/>
      </w:r>
      <w:r>
        <w:tab/>
      </w:r>
      <w:r>
        <w:tab/>
      </w:r>
      <w:r>
        <w:tab/>
      </w:r>
      <w:r>
        <w:tab/>
      </w:r>
      <w:r>
        <w:tab/>
      </w:r>
      <w:r>
        <w:tab/>
        <w:t>SUBDIRECTORA</w:t>
      </w:r>
    </w:p>
    <w:p w:rsidR="009B53FE" w:rsidRDefault="00130163" w:rsidP="00130163">
      <w:pPr>
        <w:jc w:val="center"/>
      </w:pPr>
      <w:r>
        <w:tab/>
      </w:r>
      <w:r>
        <w:tab/>
      </w:r>
      <w:r>
        <w:tab/>
      </w:r>
      <w:r>
        <w:tab/>
      </w:r>
      <w:r>
        <w:tab/>
      </w:r>
      <w:r>
        <w:tab/>
        <w:t>REGISTRO DE LA PROPIEDAD INMUEBLE</w:t>
      </w:r>
    </w:p>
    <w:p w:rsidR="00F44AC8" w:rsidRDefault="00F44AC8" w:rsidP="00130163">
      <w:pPr>
        <w:jc w:val="right"/>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59235769"/>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3FE"/>
    <w:rsid w:val="00030AAB"/>
    <w:rsid w:val="00130163"/>
    <w:rsid w:val="008A10AF"/>
    <w:rsid w:val="008A7424"/>
    <w:rsid w:val="009B53FE"/>
    <w:rsid w:val="00BC1E45"/>
    <w:rsid w:val="00C460C4"/>
    <w:rsid w:val="00D35E71"/>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FE"/>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B53FE"/>
    <w:pPr>
      <w:keepNext/>
      <w:ind w:firstLine="1985"/>
      <w:jc w:val="both"/>
      <w:outlineLvl w:val="0"/>
    </w:pPr>
    <w:rPr>
      <w:sz w:val="24"/>
    </w:rPr>
  </w:style>
  <w:style w:type="paragraph" w:styleId="Ttulo2">
    <w:name w:val="heading 2"/>
    <w:basedOn w:val="Normal"/>
    <w:next w:val="Normal"/>
    <w:link w:val="Ttulo2Car"/>
    <w:unhideWhenUsed/>
    <w:qFormat/>
    <w:rsid w:val="009B53FE"/>
    <w:pPr>
      <w:keepNext/>
      <w:numPr>
        <w:numId w:val="1"/>
      </w:numPr>
      <w:ind w:right="51"/>
      <w:jc w:val="both"/>
      <w:outlineLvl w:val="1"/>
    </w:pPr>
    <w:rPr>
      <w:sz w:val="24"/>
    </w:rPr>
  </w:style>
  <w:style w:type="paragraph" w:styleId="Ttulo5">
    <w:name w:val="heading 5"/>
    <w:basedOn w:val="Normal"/>
    <w:next w:val="Normal"/>
    <w:link w:val="Ttulo5Car"/>
    <w:semiHidden/>
    <w:unhideWhenUsed/>
    <w:qFormat/>
    <w:rsid w:val="009B53FE"/>
    <w:pPr>
      <w:keepNext/>
      <w:ind w:right="51"/>
      <w:jc w:val="both"/>
      <w:outlineLvl w:val="4"/>
    </w:pPr>
    <w:rPr>
      <w:sz w:val="24"/>
    </w:rPr>
  </w:style>
  <w:style w:type="paragraph" w:styleId="Ttulo6">
    <w:name w:val="heading 6"/>
    <w:basedOn w:val="Normal"/>
    <w:next w:val="Normal"/>
    <w:link w:val="Ttulo6Car"/>
    <w:semiHidden/>
    <w:unhideWhenUsed/>
    <w:qFormat/>
    <w:rsid w:val="009B53FE"/>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53FE"/>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9B53FE"/>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9B53FE"/>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9B53FE"/>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9B53FE"/>
    <w:pPr>
      <w:ind w:right="51" w:firstLine="1985"/>
      <w:jc w:val="both"/>
    </w:pPr>
    <w:rPr>
      <w:sz w:val="24"/>
    </w:rPr>
  </w:style>
  <w:style w:type="character" w:customStyle="1" w:styleId="Sangra2detindependienteCar">
    <w:name w:val="Sangría 2 de t. independiente Car"/>
    <w:basedOn w:val="Fuentedeprrafopredeter"/>
    <w:link w:val="Sangra2detindependiente"/>
    <w:semiHidden/>
    <w:rsid w:val="009B53FE"/>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8183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2015-04-30T12:56:00Z</dcterms:created>
  <dcterms:modified xsi:type="dcterms:W3CDTF">2015-10-20T12:24:00Z</dcterms:modified>
</cp:coreProperties>
</file>